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723" w:rsidRPr="007C319D" w:rsidRDefault="002F6DFC" w:rsidP="000C7723">
      <w:pPr>
        <w:jc w:val="right"/>
        <w:rPr>
          <w:b/>
          <w:szCs w:val="21"/>
        </w:rPr>
      </w:pPr>
      <w:r>
        <w:rPr>
          <w:noProof/>
        </w:rPr>
        <w:drawing>
          <wp:inline distT="0" distB="0" distL="0" distR="0" wp14:anchorId="2CA521D5" wp14:editId="560FA6CB">
            <wp:extent cx="3018996" cy="93345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4072" r="-1" b="-9333"/>
                    <a:stretch/>
                  </pic:blipFill>
                  <pic:spPr bwMode="auto">
                    <a:xfrm>
                      <a:off x="0" y="0"/>
                      <a:ext cx="3035816" cy="938651"/>
                    </a:xfrm>
                    <a:prstGeom prst="rect">
                      <a:avLst/>
                    </a:prstGeom>
                    <a:ln>
                      <a:noFill/>
                    </a:ln>
                    <a:extLst>
                      <a:ext uri="{53640926-AAD7-44D8-BBD7-CCE9431645EC}">
                        <a14:shadowObscured xmlns:a14="http://schemas.microsoft.com/office/drawing/2010/main"/>
                      </a:ext>
                    </a:extLst>
                  </pic:spPr>
                </pic:pic>
              </a:graphicData>
            </a:graphic>
          </wp:inline>
        </w:drawing>
      </w:r>
      <w:r w:rsidR="00A2731D">
        <w:rPr>
          <w:rFonts w:cs="Arial"/>
          <w:noProof/>
          <w:sz w:val="28"/>
          <w:szCs w:val="28"/>
        </w:rPr>
        <w:pict w14:anchorId="7AB13600">
          <v:shape id="Round Diagonal Corner Rectangle 24" o:spid="_x0000_s1026" style="position:absolute;left:0;text-align:left;margin-left:-29.1pt;margin-top:-51.1pt;width:564.4pt;height:804.6pt;rotation:180;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6788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" path="m1194671,l7167880,r,l7167880,9023749v,659799,-534872,1194671,-1194671,1194671l,10218420r,l,1194671c,534872,534872,,1194671,xe" filled="f" strokecolor="#090" strokeweight="2pt">
            <v:path arrowok="t" o:connecttype="custom" o:connectlocs="1194671,0;7167880,0;7167880,0;7167880,9023749;5973209,10218420;0,10218420;0,10218420;0,1194671;1194671,0" o:connectangles="0,0,0,0,0,0,0,0,0"/>
          </v:shape>
        </w:pict>
      </w:r>
    </w:p>
    <w:p w:rsidR="000C7723" w:rsidRDefault="000C7723" w:rsidP="000C7723">
      <w:pPr>
        <w:rPr>
          <w:b/>
          <w:sz w:val="32"/>
          <w:szCs w:val="32"/>
        </w:rPr>
      </w:pPr>
    </w:p>
    <w:p w:rsidR="000C7723" w:rsidRDefault="000C7723" w:rsidP="000C7723">
      <w:pPr>
        <w:rPr>
          <w:b/>
          <w:sz w:val="32"/>
          <w:szCs w:val="32"/>
        </w:rPr>
      </w:pPr>
    </w:p>
    <w:p w:rsidR="000C7723" w:rsidRDefault="00D267D4" w:rsidP="000C7723">
      <w:pPr>
        <w:rPr>
          <w:rFonts w:asciiTheme="minorHAnsi" w:hAnsiTheme="minorHAnsi"/>
          <w:b/>
          <w:sz w:val="40"/>
          <w:szCs w:val="40"/>
        </w:rPr>
      </w:pPr>
      <w:r w:rsidRPr="001B0255">
        <w:rPr>
          <w:rFonts w:asciiTheme="minorHAnsi" w:hAnsiTheme="minorHAnsi"/>
          <w:b/>
          <w:sz w:val="40"/>
          <w:szCs w:val="40"/>
        </w:rPr>
        <w:t>TRUST</w:t>
      </w:r>
      <w:r w:rsidR="00F574FD">
        <w:rPr>
          <w:rFonts w:asciiTheme="minorHAnsi" w:hAnsiTheme="minorHAnsi"/>
          <w:b/>
          <w:sz w:val="40"/>
          <w:szCs w:val="40"/>
        </w:rPr>
        <w:t xml:space="preserve"> MANAGEMENT </w:t>
      </w:r>
      <w:r w:rsidR="00347A5A">
        <w:rPr>
          <w:rFonts w:asciiTheme="minorHAnsi" w:hAnsiTheme="minorHAnsi"/>
          <w:b/>
          <w:sz w:val="40"/>
          <w:szCs w:val="40"/>
        </w:rPr>
        <w:t>PIE</w:t>
      </w:r>
      <w:r w:rsidR="000C7723" w:rsidRPr="001B0255">
        <w:rPr>
          <w:rFonts w:asciiTheme="minorHAnsi" w:hAnsiTheme="minorHAnsi"/>
          <w:b/>
          <w:sz w:val="40"/>
          <w:szCs w:val="40"/>
        </w:rPr>
        <w:t xml:space="preserve"> FUNDS</w:t>
      </w:r>
    </w:p>
    <w:p w:rsidR="00D812A1" w:rsidRPr="00D812A1" w:rsidRDefault="00D812A1" w:rsidP="00D812A1">
      <w:pPr>
        <w:rPr>
          <w:rFonts w:asciiTheme="minorHAnsi" w:hAnsiTheme="minorHAnsi"/>
          <w:b/>
          <w:caps/>
          <w:color w:val="006600"/>
          <w:sz w:val="48"/>
          <w:szCs w:val="48"/>
        </w:rPr>
      </w:pPr>
      <w:r w:rsidRPr="00D812A1">
        <w:rPr>
          <w:rFonts w:asciiTheme="minorHAnsi" w:hAnsiTheme="minorHAnsi"/>
          <w:b/>
          <w:caps/>
          <w:color w:val="006600"/>
          <w:sz w:val="48"/>
          <w:szCs w:val="48"/>
        </w:rPr>
        <w:t>Other material information</w:t>
      </w:r>
    </w:p>
    <w:p w:rsidR="00D812A1" w:rsidRPr="001B0255" w:rsidRDefault="00D812A1" w:rsidP="000C7723">
      <w:pPr>
        <w:rPr>
          <w:rFonts w:asciiTheme="minorHAnsi" w:hAnsiTheme="minorHAnsi"/>
          <w:b/>
          <w:sz w:val="40"/>
          <w:szCs w:val="40"/>
        </w:rPr>
      </w:pPr>
    </w:p>
    <w:p w:rsidR="00657FA3" w:rsidRPr="00050A4A" w:rsidRDefault="00E01F2F" w:rsidP="00657FA3">
      <w:r>
        <w:t xml:space="preserve">1 </w:t>
      </w:r>
      <w:r w:rsidR="00D806E0">
        <w:t>April 2020</w:t>
      </w:r>
      <w:r w:rsidR="009209A6" w:rsidDel="009209A6">
        <w:t xml:space="preserve"> </w:t>
      </w:r>
    </w:p>
    <w:p w:rsidR="000C7723" w:rsidRDefault="000C7723" w:rsidP="000C7723"/>
    <w:p w:rsidR="000C7723" w:rsidRDefault="000C7723" w:rsidP="000C7723"/>
    <w:p w:rsidR="000C7723" w:rsidRDefault="000C7723" w:rsidP="000C7723"/>
    <w:p w:rsidR="000C7723" w:rsidRDefault="000C7723" w:rsidP="000C7723"/>
    <w:p w:rsidR="000C7723" w:rsidRDefault="000C7723" w:rsidP="000C7723"/>
    <w:p w:rsidR="000C7723" w:rsidRDefault="000C7723" w:rsidP="000C7723"/>
    <w:p w:rsidR="000C7723" w:rsidRDefault="000C7723" w:rsidP="000C7723"/>
    <w:p w:rsidR="000C7723" w:rsidRDefault="000C7723" w:rsidP="000C7723"/>
    <w:p w:rsidR="000C7723" w:rsidRDefault="000C7723" w:rsidP="000C7723"/>
    <w:p w:rsidR="000C7723" w:rsidRDefault="000C7723" w:rsidP="000C7723"/>
    <w:p w:rsidR="000C7723" w:rsidRDefault="000C7723" w:rsidP="000C7723"/>
    <w:p w:rsidR="000F31FD" w:rsidRDefault="000F31FD" w:rsidP="000C7723"/>
    <w:p w:rsidR="000F31FD" w:rsidRDefault="000F31FD" w:rsidP="000C7723"/>
    <w:p w:rsidR="000F31FD" w:rsidRPr="008201E4" w:rsidRDefault="000F31FD" w:rsidP="000F31FD">
      <w:pPr>
        <w:rPr>
          <w:rFonts w:asciiTheme="minorHAnsi" w:hAnsiTheme="minorHAnsi"/>
          <w:sz w:val="28"/>
          <w:szCs w:val="28"/>
        </w:rPr>
      </w:pPr>
      <w:r w:rsidRPr="008201E4">
        <w:rPr>
          <w:rFonts w:asciiTheme="minorHAnsi" w:hAnsiTheme="minorHAnsi" w:cs="TheSans B4 SemiLight"/>
          <w:sz w:val="28"/>
          <w:szCs w:val="28"/>
        </w:rPr>
        <w:t>Issued by Trust Investment</w:t>
      </w:r>
      <w:r>
        <w:rPr>
          <w:rFonts w:asciiTheme="minorHAnsi" w:hAnsiTheme="minorHAnsi" w:cs="TheSans B4 SemiLight"/>
          <w:sz w:val="28"/>
          <w:szCs w:val="28"/>
        </w:rPr>
        <w:t>s</w:t>
      </w:r>
      <w:r w:rsidRPr="008201E4">
        <w:rPr>
          <w:rFonts w:asciiTheme="minorHAnsi" w:hAnsiTheme="minorHAnsi" w:cs="TheSans B4 SemiLight"/>
          <w:sz w:val="28"/>
          <w:szCs w:val="28"/>
        </w:rPr>
        <w:t xml:space="preserve"> Management Limited</w:t>
      </w:r>
      <w:r w:rsidR="00B1726F">
        <w:rPr>
          <w:rFonts w:asciiTheme="minorHAnsi" w:hAnsiTheme="minorHAnsi" w:cs="TheSans B4 SemiLight"/>
          <w:sz w:val="28"/>
          <w:szCs w:val="28"/>
        </w:rPr>
        <w:t xml:space="preserve"> as </w:t>
      </w:r>
      <w:r w:rsidR="00EB45A7">
        <w:rPr>
          <w:rFonts w:asciiTheme="minorHAnsi" w:hAnsiTheme="minorHAnsi" w:cs="TheSans B4 SemiLight"/>
          <w:sz w:val="28"/>
          <w:szCs w:val="28"/>
        </w:rPr>
        <w:t>c</w:t>
      </w:r>
      <w:r w:rsidR="00B1726F">
        <w:rPr>
          <w:rFonts w:asciiTheme="minorHAnsi" w:hAnsiTheme="minorHAnsi" w:cs="TheSans B4 SemiLight"/>
          <w:sz w:val="28"/>
          <w:szCs w:val="28"/>
        </w:rPr>
        <w:t xml:space="preserve">orporate </w:t>
      </w:r>
      <w:r w:rsidR="00EB45A7">
        <w:rPr>
          <w:rFonts w:asciiTheme="minorHAnsi" w:hAnsiTheme="minorHAnsi" w:cs="TheSans B4 SemiLight"/>
          <w:sz w:val="28"/>
          <w:szCs w:val="28"/>
        </w:rPr>
        <w:t>t</w:t>
      </w:r>
      <w:r w:rsidR="00B1726F">
        <w:rPr>
          <w:rFonts w:asciiTheme="minorHAnsi" w:hAnsiTheme="minorHAnsi" w:cs="TheSans B4 SemiLight"/>
          <w:sz w:val="28"/>
          <w:szCs w:val="28"/>
        </w:rPr>
        <w:t>rustee of the Trust Investments Management Charitable Trust.</w:t>
      </w:r>
    </w:p>
    <w:p w:rsidR="000F31FD" w:rsidRDefault="000F31FD" w:rsidP="000C7723"/>
    <w:p w:rsidR="00BD3B91" w:rsidRPr="00012AE1" w:rsidRDefault="00A2731D" w:rsidP="00BD3B91">
      <w:pPr>
        <w:pageBreakBefore/>
        <w:rPr>
          <w:rFonts w:asciiTheme="minorHAnsi" w:hAnsiTheme="minorHAnsi"/>
          <w:b/>
          <w:color w:val="006600"/>
          <w:sz w:val="28"/>
          <w:szCs w:val="28"/>
        </w:rPr>
      </w:pPr>
      <w:r>
        <w:rPr>
          <w:rFonts w:asciiTheme="minorHAnsi" w:hAnsiTheme="minorHAnsi" w:cs="Arial"/>
          <w:b/>
          <w:noProof/>
          <w:color w:val="006600"/>
          <w:sz w:val="28"/>
          <w:szCs w:val="28"/>
        </w:rPr>
        <w:pict w14:anchorId="7B71A77D">
          <v:shape id="_x0000_s1045" style="position:absolute;left:0;text-align:left;margin-left:-30.6pt;margin-top:-50.4pt;width:564.4pt;height:804.6pt;rotation:180;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6788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" path="m1194671,l7167880,r,l7167880,9023749v,659799,-534872,1194671,-1194671,1194671l,10218420r,l,1194671c,534872,534872,,1194671,xe" filled="f" strokecolor="#090" strokeweight="2pt">
            <v:path arrowok="t" o:connecttype="custom" o:connectlocs="1194671,0;7167880,0;7167880,0;7167880,9023749;5973209,10218420;0,10218420;0,10218420;0,1194671;1194671,0" o:connectangles="0,0,0,0,0,0,0,0,0"/>
          </v:shape>
        </w:pict>
      </w:r>
      <w:r w:rsidR="00BD3B91" w:rsidRPr="00012AE1">
        <w:rPr>
          <w:rFonts w:asciiTheme="minorHAnsi" w:hAnsiTheme="minorHAnsi"/>
          <w:b/>
          <w:color w:val="006600"/>
          <w:sz w:val="28"/>
          <w:szCs w:val="28"/>
        </w:rPr>
        <w:t>TABLE OF CONTENTS</w:t>
      </w:r>
    </w:p>
    <w:p w:rsidR="00BF2D30" w:rsidRDefault="00BD3B91">
      <w:pPr>
        <w:pStyle w:val="TOC1"/>
        <w:rPr>
          <w:rFonts w:asciiTheme="minorHAnsi" w:eastAsiaTheme="minorEastAsia" w:hAnsiTheme="minorHAnsi" w:cstheme="minorBidi"/>
          <w:caps w:val="0"/>
          <w:noProof/>
          <w:sz w:val="22"/>
          <w:szCs w:val="22"/>
        </w:rPr>
      </w:pPr>
      <w:r w:rsidRPr="00227E85">
        <w:rPr>
          <w:rFonts w:asciiTheme="minorHAnsi" w:eastAsiaTheme="minorEastAsia" w:hAnsiTheme="minorHAnsi"/>
          <w:caps w:val="0"/>
          <w:sz w:val="22"/>
          <w:szCs w:val="22"/>
        </w:rPr>
        <w:fldChar w:fldCharType="begin"/>
      </w:r>
      <w:r w:rsidRPr="00227E85">
        <w:rPr>
          <w:rFonts w:asciiTheme="minorHAnsi" w:eastAsiaTheme="minorEastAsia" w:hAnsiTheme="minorHAnsi"/>
          <w:caps w:val="0"/>
          <w:sz w:val="22"/>
          <w:szCs w:val="22"/>
        </w:rPr>
        <w:instrText xml:space="preserve"> TOC \o "1-1" \u </w:instrText>
      </w:r>
      <w:r w:rsidRPr="00227E85">
        <w:rPr>
          <w:rFonts w:asciiTheme="minorHAnsi" w:eastAsiaTheme="minorEastAsia" w:hAnsiTheme="minorHAnsi"/>
          <w:caps w:val="0"/>
          <w:sz w:val="22"/>
          <w:szCs w:val="22"/>
        </w:rPr>
        <w:fldChar w:fldCharType="separate"/>
      </w:r>
      <w:r w:rsidR="00BF2D30">
        <w:rPr>
          <w:noProof/>
        </w:rPr>
        <w:t>1.</w:t>
      </w:r>
      <w:r w:rsidR="00BF2D30">
        <w:rPr>
          <w:rFonts w:asciiTheme="minorHAnsi" w:eastAsiaTheme="minorEastAsia" w:hAnsiTheme="minorHAnsi" w:cstheme="minorBidi"/>
          <w:caps w:val="0"/>
          <w:noProof/>
          <w:sz w:val="22"/>
          <w:szCs w:val="22"/>
        </w:rPr>
        <w:tab/>
      </w:r>
      <w:r w:rsidR="00BF2D30">
        <w:rPr>
          <w:noProof/>
        </w:rPr>
        <w:t>General</w:t>
      </w:r>
      <w:r w:rsidR="00BF2D30">
        <w:rPr>
          <w:noProof/>
        </w:rPr>
        <w:tab/>
      </w:r>
      <w:r w:rsidR="00BF2D30">
        <w:rPr>
          <w:noProof/>
        </w:rPr>
        <w:fldChar w:fldCharType="begin"/>
      </w:r>
      <w:r w:rsidR="00BF2D30">
        <w:rPr>
          <w:noProof/>
        </w:rPr>
        <w:instrText xml:space="preserve"> PAGEREF _Toc34916721 \h </w:instrText>
      </w:r>
      <w:r w:rsidR="00BF2D30">
        <w:rPr>
          <w:noProof/>
        </w:rPr>
      </w:r>
      <w:r w:rsidR="00BF2D30">
        <w:rPr>
          <w:noProof/>
        </w:rPr>
        <w:fldChar w:fldCharType="separate"/>
      </w:r>
      <w:r w:rsidR="005D607B">
        <w:rPr>
          <w:noProof/>
        </w:rPr>
        <w:t>3</w:t>
      </w:r>
      <w:r w:rsidR="00BF2D30">
        <w:rPr>
          <w:noProof/>
        </w:rPr>
        <w:fldChar w:fldCharType="end"/>
      </w:r>
    </w:p>
    <w:p w:rsidR="00BF2D30" w:rsidRDefault="00BF2D30">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Funds</w:t>
      </w:r>
      <w:r>
        <w:rPr>
          <w:noProof/>
        </w:rPr>
        <w:tab/>
      </w:r>
      <w:r>
        <w:rPr>
          <w:noProof/>
        </w:rPr>
        <w:fldChar w:fldCharType="begin"/>
      </w:r>
      <w:r>
        <w:rPr>
          <w:noProof/>
        </w:rPr>
        <w:instrText xml:space="preserve"> PAGEREF _Toc34916722 \h </w:instrText>
      </w:r>
      <w:r>
        <w:rPr>
          <w:noProof/>
        </w:rPr>
      </w:r>
      <w:r>
        <w:rPr>
          <w:noProof/>
        </w:rPr>
        <w:fldChar w:fldCharType="separate"/>
      </w:r>
      <w:r w:rsidR="005D607B">
        <w:rPr>
          <w:noProof/>
        </w:rPr>
        <w:t>3</w:t>
      </w:r>
      <w:r>
        <w:rPr>
          <w:noProof/>
        </w:rPr>
        <w:fldChar w:fldCharType="end"/>
      </w:r>
    </w:p>
    <w:p w:rsidR="00BF2D30" w:rsidRDefault="00BF2D30">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Persons involved</w:t>
      </w:r>
      <w:r>
        <w:rPr>
          <w:noProof/>
        </w:rPr>
        <w:tab/>
      </w:r>
      <w:r>
        <w:rPr>
          <w:noProof/>
        </w:rPr>
        <w:fldChar w:fldCharType="begin"/>
      </w:r>
      <w:r>
        <w:rPr>
          <w:noProof/>
        </w:rPr>
        <w:instrText xml:space="preserve"> PAGEREF _Toc34916723 \h </w:instrText>
      </w:r>
      <w:r>
        <w:rPr>
          <w:noProof/>
        </w:rPr>
      </w:r>
      <w:r>
        <w:rPr>
          <w:noProof/>
        </w:rPr>
        <w:fldChar w:fldCharType="separate"/>
      </w:r>
      <w:r w:rsidR="005D607B">
        <w:rPr>
          <w:noProof/>
        </w:rPr>
        <w:t>4</w:t>
      </w:r>
      <w:r>
        <w:rPr>
          <w:noProof/>
        </w:rPr>
        <w:fldChar w:fldCharType="end"/>
      </w:r>
    </w:p>
    <w:p w:rsidR="005D607B" w:rsidRDefault="00BF2D30">
      <w:pPr>
        <w:pStyle w:val="TOC1"/>
        <w:rPr>
          <w:noProof/>
        </w:rPr>
      </w:pPr>
      <w:r>
        <w:rPr>
          <w:noProof/>
        </w:rPr>
        <w:t>4.</w:t>
      </w:r>
      <w:r>
        <w:rPr>
          <w:rFonts w:asciiTheme="minorHAnsi" w:eastAsiaTheme="minorEastAsia" w:hAnsiTheme="minorHAnsi" w:cstheme="minorBidi"/>
          <w:caps w:val="0"/>
          <w:noProof/>
          <w:sz w:val="22"/>
          <w:szCs w:val="22"/>
        </w:rPr>
        <w:tab/>
      </w:r>
      <w:r>
        <w:rPr>
          <w:noProof/>
        </w:rPr>
        <w:t xml:space="preserve">Additional information on making investments and withdrawal </w:t>
      </w:r>
    </w:p>
    <w:p w:rsidR="00BF2D30" w:rsidRPr="005D607B" w:rsidRDefault="005D607B">
      <w:pPr>
        <w:pStyle w:val="TOC1"/>
        <w:rPr>
          <w:noProof/>
        </w:rPr>
      </w:pPr>
      <w:r>
        <w:rPr>
          <w:noProof/>
        </w:rPr>
        <w:tab/>
      </w:r>
      <w:r w:rsidR="00BF2D30">
        <w:rPr>
          <w:noProof/>
        </w:rPr>
        <w:t>transactions</w:t>
      </w:r>
      <w:r w:rsidR="00BF2D30">
        <w:rPr>
          <w:noProof/>
        </w:rPr>
        <w:tab/>
      </w:r>
      <w:r w:rsidR="00BF2D30">
        <w:rPr>
          <w:noProof/>
        </w:rPr>
        <w:fldChar w:fldCharType="begin"/>
      </w:r>
      <w:r w:rsidR="00BF2D30">
        <w:rPr>
          <w:noProof/>
        </w:rPr>
        <w:instrText xml:space="preserve"> PAGEREF _Toc34916724 \h </w:instrText>
      </w:r>
      <w:r w:rsidR="00BF2D30">
        <w:rPr>
          <w:noProof/>
        </w:rPr>
      </w:r>
      <w:r w:rsidR="00BF2D30">
        <w:rPr>
          <w:noProof/>
        </w:rPr>
        <w:fldChar w:fldCharType="separate"/>
      </w:r>
      <w:r>
        <w:rPr>
          <w:noProof/>
        </w:rPr>
        <w:t>8</w:t>
      </w:r>
      <w:r w:rsidR="00BF2D30">
        <w:rPr>
          <w:noProof/>
        </w:rPr>
        <w:fldChar w:fldCharType="end"/>
      </w:r>
    </w:p>
    <w:p w:rsidR="00BF2D30" w:rsidRDefault="00BF2D30">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additional information on pie tax</w:t>
      </w:r>
      <w:r>
        <w:rPr>
          <w:noProof/>
        </w:rPr>
        <w:tab/>
      </w:r>
      <w:r>
        <w:rPr>
          <w:noProof/>
        </w:rPr>
        <w:fldChar w:fldCharType="begin"/>
      </w:r>
      <w:r>
        <w:rPr>
          <w:noProof/>
        </w:rPr>
        <w:instrText xml:space="preserve"> PAGEREF _Toc34916725 \h </w:instrText>
      </w:r>
      <w:r>
        <w:rPr>
          <w:noProof/>
        </w:rPr>
      </w:r>
      <w:r>
        <w:rPr>
          <w:noProof/>
        </w:rPr>
        <w:fldChar w:fldCharType="separate"/>
      </w:r>
      <w:r w:rsidR="005D607B">
        <w:rPr>
          <w:noProof/>
        </w:rPr>
        <w:t>9</w:t>
      </w:r>
      <w:r>
        <w:rPr>
          <w:noProof/>
        </w:rPr>
        <w:fldChar w:fldCharType="end"/>
      </w:r>
    </w:p>
    <w:p w:rsidR="00BF2D30" w:rsidRDefault="00BF2D30">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Additional information on fees and expenses</w:t>
      </w:r>
      <w:r>
        <w:rPr>
          <w:noProof/>
        </w:rPr>
        <w:tab/>
      </w:r>
      <w:r>
        <w:rPr>
          <w:noProof/>
        </w:rPr>
        <w:fldChar w:fldCharType="begin"/>
      </w:r>
      <w:r>
        <w:rPr>
          <w:noProof/>
        </w:rPr>
        <w:instrText xml:space="preserve"> PAGEREF _Toc34916726 \h </w:instrText>
      </w:r>
      <w:r>
        <w:rPr>
          <w:noProof/>
        </w:rPr>
      </w:r>
      <w:r>
        <w:rPr>
          <w:noProof/>
        </w:rPr>
        <w:fldChar w:fldCharType="separate"/>
      </w:r>
      <w:r w:rsidR="005D607B">
        <w:rPr>
          <w:noProof/>
        </w:rPr>
        <w:t>11</w:t>
      </w:r>
      <w:r>
        <w:rPr>
          <w:noProof/>
        </w:rPr>
        <w:fldChar w:fldCharType="end"/>
      </w:r>
    </w:p>
    <w:p w:rsidR="00BF2D30" w:rsidRDefault="00BF2D30">
      <w:pPr>
        <w:pStyle w:val="TOC1"/>
        <w:rPr>
          <w:rFonts w:asciiTheme="minorHAnsi" w:eastAsiaTheme="minorEastAsia" w:hAnsiTheme="minorHAnsi" w:cstheme="minorBidi"/>
          <w:caps w:val="0"/>
          <w:noProof/>
          <w:sz w:val="22"/>
          <w:szCs w:val="22"/>
        </w:rPr>
      </w:pPr>
      <w:r>
        <w:rPr>
          <w:noProof/>
        </w:rPr>
        <w:t>7.</w:t>
      </w:r>
      <w:r>
        <w:rPr>
          <w:rFonts w:asciiTheme="minorHAnsi" w:eastAsiaTheme="minorEastAsia" w:hAnsiTheme="minorHAnsi" w:cstheme="minorBidi"/>
          <w:caps w:val="0"/>
          <w:noProof/>
          <w:sz w:val="22"/>
          <w:szCs w:val="22"/>
        </w:rPr>
        <w:tab/>
      </w:r>
      <w:r>
        <w:rPr>
          <w:noProof/>
        </w:rPr>
        <w:t>Additional information on risks</w:t>
      </w:r>
      <w:r>
        <w:rPr>
          <w:noProof/>
        </w:rPr>
        <w:tab/>
      </w:r>
      <w:r>
        <w:rPr>
          <w:noProof/>
        </w:rPr>
        <w:fldChar w:fldCharType="begin"/>
      </w:r>
      <w:r>
        <w:rPr>
          <w:noProof/>
        </w:rPr>
        <w:instrText xml:space="preserve"> PAGEREF _Toc34916727 \h </w:instrText>
      </w:r>
      <w:r>
        <w:rPr>
          <w:noProof/>
        </w:rPr>
      </w:r>
      <w:r>
        <w:rPr>
          <w:noProof/>
        </w:rPr>
        <w:fldChar w:fldCharType="separate"/>
      </w:r>
      <w:r w:rsidR="005D607B">
        <w:rPr>
          <w:noProof/>
        </w:rPr>
        <w:t>14</w:t>
      </w:r>
      <w:r>
        <w:rPr>
          <w:noProof/>
        </w:rPr>
        <w:fldChar w:fldCharType="end"/>
      </w:r>
    </w:p>
    <w:p w:rsidR="00BF2D30" w:rsidRDefault="00BF2D30">
      <w:pPr>
        <w:pStyle w:val="TOC1"/>
        <w:rPr>
          <w:rFonts w:asciiTheme="minorHAnsi" w:eastAsiaTheme="minorEastAsia" w:hAnsiTheme="minorHAnsi" w:cstheme="minorBidi"/>
          <w:caps w:val="0"/>
          <w:noProof/>
          <w:sz w:val="22"/>
          <w:szCs w:val="22"/>
        </w:rPr>
      </w:pPr>
      <w:r>
        <w:rPr>
          <w:noProof/>
        </w:rPr>
        <w:t>8.</w:t>
      </w:r>
      <w:r>
        <w:rPr>
          <w:rFonts w:asciiTheme="minorHAnsi" w:eastAsiaTheme="minorEastAsia" w:hAnsiTheme="minorHAnsi" w:cstheme="minorBidi"/>
          <w:caps w:val="0"/>
          <w:noProof/>
          <w:sz w:val="22"/>
          <w:szCs w:val="22"/>
        </w:rPr>
        <w:tab/>
      </w:r>
      <w:r>
        <w:rPr>
          <w:noProof/>
        </w:rPr>
        <w:t>Market indices for the Funds</w:t>
      </w:r>
      <w:r>
        <w:rPr>
          <w:noProof/>
        </w:rPr>
        <w:tab/>
      </w:r>
      <w:r>
        <w:rPr>
          <w:noProof/>
        </w:rPr>
        <w:fldChar w:fldCharType="begin"/>
      </w:r>
      <w:r>
        <w:rPr>
          <w:noProof/>
        </w:rPr>
        <w:instrText xml:space="preserve"> PAGEREF _Toc34916728 \h </w:instrText>
      </w:r>
      <w:r>
        <w:rPr>
          <w:noProof/>
        </w:rPr>
      </w:r>
      <w:r>
        <w:rPr>
          <w:noProof/>
        </w:rPr>
        <w:fldChar w:fldCharType="separate"/>
      </w:r>
      <w:r w:rsidR="005D607B">
        <w:rPr>
          <w:noProof/>
        </w:rPr>
        <w:t>16</w:t>
      </w:r>
      <w:r>
        <w:rPr>
          <w:noProof/>
        </w:rPr>
        <w:fldChar w:fldCharType="end"/>
      </w:r>
    </w:p>
    <w:p w:rsidR="00BF2D30" w:rsidRDefault="00BF2D30">
      <w:pPr>
        <w:pStyle w:val="TOC1"/>
        <w:rPr>
          <w:rFonts w:asciiTheme="minorHAnsi" w:eastAsiaTheme="minorEastAsia" w:hAnsiTheme="minorHAnsi" w:cstheme="minorBidi"/>
          <w:caps w:val="0"/>
          <w:noProof/>
          <w:sz w:val="22"/>
          <w:szCs w:val="22"/>
        </w:rPr>
      </w:pPr>
      <w:r>
        <w:rPr>
          <w:noProof/>
        </w:rPr>
        <w:t>9.</w:t>
      </w:r>
      <w:r>
        <w:rPr>
          <w:rFonts w:asciiTheme="minorHAnsi" w:eastAsiaTheme="minorEastAsia" w:hAnsiTheme="minorHAnsi" w:cstheme="minorBidi"/>
          <w:caps w:val="0"/>
          <w:noProof/>
          <w:sz w:val="22"/>
          <w:szCs w:val="22"/>
        </w:rPr>
        <w:tab/>
      </w:r>
      <w:r>
        <w:rPr>
          <w:noProof/>
        </w:rPr>
        <w:t>Material Contracts</w:t>
      </w:r>
      <w:r>
        <w:rPr>
          <w:noProof/>
        </w:rPr>
        <w:tab/>
      </w:r>
      <w:r>
        <w:rPr>
          <w:noProof/>
        </w:rPr>
        <w:fldChar w:fldCharType="begin"/>
      </w:r>
      <w:r>
        <w:rPr>
          <w:noProof/>
        </w:rPr>
        <w:instrText xml:space="preserve"> PAGEREF _Toc34916729 \h </w:instrText>
      </w:r>
      <w:r>
        <w:rPr>
          <w:noProof/>
        </w:rPr>
      </w:r>
      <w:r>
        <w:rPr>
          <w:noProof/>
        </w:rPr>
        <w:fldChar w:fldCharType="separate"/>
      </w:r>
      <w:r w:rsidR="005D607B">
        <w:rPr>
          <w:noProof/>
        </w:rPr>
        <w:t>17</w:t>
      </w:r>
      <w:r>
        <w:rPr>
          <w:noProof/>
        </w:rPr>
        <w:fldChar w:fldCharType="end"/>
      </w:r>
    </w:p>
    <w:p w:rsidR="00BF2D30" w:rsidRDefault="00BF2D30">
      <w:pPr>
        <w:pStyle w:val="TOC1"/>
        <w:rPr>
          <w:rFonts w:asciiTheme="minorHAnsi" w:eastAsiaTheme="minorEastAsia" w:hAnsiTheme="minorHAnsi" w:cstheme="minorBidi"/>
          <w:caps w:val="0"/>
          <w:noProof/>
          <w:sz w:val="22"/>
          <w:szCs w:val="22"/>
        </w:rPr>
      </w:pPr>
      <w:r>
        <w:rPr>
          <w:noProof/>
        </w:rPr>
        <w:t>10.</w:t>
      </w:r>
      <w:r>
        <w:rPr>
          <w:rFonts w:asciiTheme="minorHAnsi" w:eastAsiaTheme="minorEastAsia" w:hAnsiTheme="minorHAnsi" w:cstheme="minorBidi"/>
          <w:caps w:val="0"/>
          <w:noProof/>
          <w:sz w:val="22"/>
          <w:szCs w:val="22"/>
        </w:rPr>
        <w:tab/>
      </w:r>
      <w:r>
        <w:rPr>
          <w:noProof/>
        </w:rPr>
        <w:t>Conflicts of interest</w:t>
      </w:r>
      <w:r>
        <w:rPr>
          <w:noProof/>
        </w:rPr>
        <w:tab/>
      </w:r>
      <w:r>
        <w:rPr>
          <w:noProof/>
        </w:rPr>
        <w:fldChar w:fldCharType="begin"/>
      </w:r>
      <w:r>
        <w:rPr>
          <w:noProof/>
        </w:rPr>
        <w:instrText xml:space="preserve"> PAGEREF _Toc34916730 \h </w:instrText>
      </w:r>
      <w:r>
        <w:rPr>
          <w:noProof/>
        </w:rPr>
      </w:r>
      <w:r>
        <w:rPr>
          <w:noProof/>
        </w:rPr>
        <w:fldChar w:fldCharType="separate"/>
      </w:r>
      <w:r w:rsidR="005D607B">
        <w:rPr>
          <w:noProof/>
        </w:rPr>
        <w:t>18</w:t>
      </w:r>
      <w:r>
        <w:rPr>
          <w:noProof/>
        </w:rPr>
        <w:fldChar w:fldCharType="end"/>
      </w:r>
    </w:p>
    <w:p w:rsidR="00BF2D30" w:rsidRDefault="00BF2D30">
      <w:pPr>
        <w:pStyle w:val="TOC1"/>
        <w:rPr>
          <w:rFonts w:asciiTheme="minorHAnsi" w:eastAsiaTheme="minorEastAsia" w:hAnsiTheme="minorHAnsi" w:cstheme="minorBidi"/>
          <w:caps w:val="0"/>
          <w:noProof/>
          <w:sz w:val="22"/>
          <w:szCs w:val="22"/>
        </w:rPr>
      </w:pPr>
      <w:r>
        <w:rPr>
          <w:noProof/>
        </w:rPr>
        <w:t>11.</w:t>
      </w:r>
      <w:r>
        <w:rPr>
          <w:rFonts w:asciiTheme="minorHAnsi" w:eastAsiaTheme="minorEastAsia" w:hAnsiTheme="minorHAnsi" w:cstheme="minorBidi"/>
          <w:caps w:val="0"/>
          <w:noProof/>
          <w:sz w:val="22"/>
          <w:szCs w:val="22"/>
        </w:rPr>
        <w:tab/>
      </w:r>
      <w:r>
        <w:rPr>
          <w:noProof/>
        </w:rPr>
        <w:t>Disclaimers</w:t>
      </w:r>
      <w:r>
        <w:rPr>
          <w:noProof/>
        </w:rPr>
        <w:tab/>
      </w:r>
      <w:r>
        <w:rPr>
          <w:noProof/>
        </w:rPr>
        <w:fldChar w:fldCharType="begin"/>
      </w:r>
      <w:r>
        <w:rPr>
          <w:noProof/>
        </w:rPr>
        <w:instrText xml:space="preserve"> PAGEREF _Toc34916731 \h </w:instrText>
      </w:r>
      <w:r>
        <w:rPr>
          <w:noProof/>
        </w:rPr>
      </w:r>
      <w:r>
        <w:rPr>
          <w:noProof/>
        </w:rPr>
        <w:fldChar w:fldCharType="separate"/>
      </w:r>
      <w:r w:rsidR="005D607B">
        <w:rPr>
          <w:noProof/>
        </w:rPr>
        <w:t>19</w:t>
      </w:r>
      <w:r>
        <w:rPr>
          <w:noProof/>
        </w:rPr>
        <w:fldChar w:fldCharType="end"/>
      </w:r>
    </w:p>
    <w:p w:rsidR="00BD3B91" w:rsidRDefault="00BD3B91" w:rsidP="00BD3B91">
      <w:pPr>
        <w:rPr>
          <w:rFonts w:asciiTheme="minorHAnsi" w:eastAsiaTheme="minorEastAsia" w:hAnsiTheme="minorHAnsi"/>
          <w:sz w:val="22"/>
          <w:szCs w:val="22"/>
        </w:rPr>
      </w:pPr>
      <w:r w:rsidRPr="00227E85">
        <w:rPr>
          <w:rFonts w:asciiTheme="minorHAnsi" w:eastAsiaTheme="minorEastAsia" w:hAnsiTheme="minorHAnsi"/>
          <w:sz w:val="22"/>
          <w:szCs w:val="22"/>
        </w:rPr>
        <w:fldChar w:fldCharType="end"/>
      </w:r>
    </w:p>
    <w:p w:rsidR="003D191A" w:rsidRPr="00012AE1" w:rsidRDefault="00B77A13" w:rsidP="00012AE1">
      <w:pPr>
        <w:pStyle w:val="Heading1"/>
      </w:pPr>
      <w:bookmarkStart w:id="0" w:name="_Toc402794593"/>
      <w:r>
        <w:br w:type="page"/>
      </w:r>
      <w:bookmarkStart w:id="1" w:name="_Toc34647171"/>
      <w:bookmarkStart w:id="2" w:name="_Toc34916721"/>
      <w:r w:rsidR="00A2731D">
        <w:rPr>
          <w:rFonts w:cs="Arial"/>
          <w:b w:val="0"/>
          <w:noProof/>
        </w:rPr>
        <w:pict w14:anchorId="1AC05218">
          <v:shape id="_x0000_s1044" style="position:absolute;left:0;text-align:left;margin-left:-27pt;margin-top:-52.55pt;width:557.25pt;height:804.6pt;rotation:18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77075,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" path="m1179536,l7077075,r,l7077075,9038884v,651440,-528096,1179536,-1179536,1179536l,10218420r,l,1179536c,528096,528096,,1179536,xe" filled="f" strokecolor="#090" strokeweight="2pt">
            <v:path arrowok="t" o:connecttype="custom" o:connectlocs="1179536,0;7077075,0;7077075,0;7077075,9038884;5897539,10218420;0,10218420;0,10218420;0,1179536;1179536,0" o:connectangles="0,0,0,0,0,0,0,0,0"/>
          </v:shape>
        </w:pict>
      </w:r>
      <w:r w:rsidR="00784025" w:rsidRPr="00012AE1">
        <w:t>General</w:t>
      </w:r>
      <w:bookmarkEnd w:id="1"/>
      <w:bookmarkEnd w:id="2"/>
      <w:r w:rsidR="003D191A" w:rsidRPr="00012AE1">
        <w:t xml:space="preserve"> </w:t>
      </w:r>
    </w:p>
    <w:p w:rsidR="003208BE" w:rsidRPr="00012AE1" w:rsidRDefault="00784025" w:rsidP="00012AE1">
      <w:pPr>
        <w:overflowPunct/>
        <w:autoSpaceDE/>
        <w:autoSpaceDN/>
        <w:adjustRightInd/>
        <w:spacing w:after="200"/>
        <w:jc w:val="left"/>
        <w:textAlignment w:val="auto"/>
        <w:rPr>
          <w:rFonts w:asciiTheme="minorHAnsi" w:hAnsiTheme="minorHAnsi"/>
          <w:sz w:val="22"/>
          <w:szCs w:val="22"/>
        </w:rPr>
      </w:pPr>
      <w:r w:rsidRPr="00012AE1">
        <w:rPr>
          <w:rFonts w:asciiTheme="minorHAnsi" w:hAnsiTheme="minorHAnsi"/>
          <w:sz w:val="22"/>
          <w:szCs w:val="22"/>
        </w:rPr>
        <w:t xml:space="preserve">This </w:t>
      </w:r>
      <w:r w:rsidR="00A347AE" w:rsidRPr="00012AE1">
        <w:rPr>
          <w:rFonts w:asciiTheme="minorHAnsi" w:hAnsiTheme="minorHAnsi"/>
          <w:sz w:val="22"/>
          <w:szCs w:val="22"/>
        </w:rPr>
        <w:t>document</w:t>
      </w:r>
      <w:r w:rsidRPr="00012AE1">
        <w:rPr>
          <w:rFonts w:asciiTheme="minorHAnsi" w:hAnsiTheme="minorHAnsi"/>
          <w:sz w:val="22"/>
          <w:szCs w:val="22"/>
        </w:rPr>
        <w:t xml:space="preserve"> </w:t>
      </w:r>
      <w:r w:rsidR="003208BE" w:rsidRPr="00012AE1">
        <w:rPr>
          <w:rFonts w:asciiTheme="minorHAnsi" w:hAnsiTheme="minorHAnsi"/>
          <w:sz w:val="22"/>
          <w:szCs w:val="22"/>
        </w:rPr>
        <w:t>contains information that is considered by Trust Investment</w:t>
      </w:r>
      <w:r w:rsidR="00CE5DE2" w:rsidRPr="00012AE1">
        <w:rPr>
          <w:rFonts w:asciiTheme="minorHAnsi" w:hAnsiTheme="minorHAnsi"/>
          <w:sz w:val="22"/>
          <w:szCs w:val="22"/>
        </w:rPr>
        <w:t>s</w:t>
      </w:r>
      <w:r w:rsidR="003208BE" w:rsidRPr="00012AE1">
        <w:rPr>
          <w:rFonts w:asciiTheme="minorHAnsi" w:hAnsiTheme="minorHAnsi"/>
          <w:sz w:val="22"/>
          <w:szCs w:val="22"/>
        </w:rPr>
        <w:t xml:space="preserve"> Management Limited </w:t>
      </w:r>
      <w:r w:rsidR="00EB45A7">
        <w:rPr>
          <w:rFonts w:asciiTheme="minorHAnsi" w:hAnsiTheme="minorHAnsi"/>
          <w:sz w:val="22"/>
          <w:szCs w:val="22"/>
        </w:rPr>
        <w:t xml:space="preserve">as corporate trustee of the Trust Investments Management Charitable Trust </w:t>
      </w:r>
      <w:r w:rsidR="003208BE" w:rsidRPr="00012AE1">
        <w:rPr>
          <w:rFonts w:asciiTheme="minorHAnsi" w:hAnsiTheme="minorHAnsi"/>
          <w:sz w:val="22"/>
          <w:szCs w:val="22"/>
        </w:rPr>
        <w:t>(“</w:t>
      </w:r>
      <w:r w:rsidR="003208BE" w:rsidRPr="00012AE1">
        <w:rPr>
          <w:rFonts w:asciiTheme="minorHAnsi" w:hAnsiTheme="minorHAnsi"/>
          <w:b/>
          <w:sz w:val="22"/>
          <w:szCs w:val="22"/>
        </w:rPr>
        <w:t>Trust Management</w:t>
      </w:r>
      <w:r w:rsidR="003208BE" w:rsidRPr="00012AE1">
        <w:rPr>
          <w:rFonts w:asciiTheme="minorHAnsi" w:hAnsiTheme="minorHAnsi"/>
          <w:sz w:val="22"/>
          <w:szCs w:val="22"/>
        </w:rPr>
        <w:t>”, “</w:t>
      </w:r>
      <w:r w:rsidR="003208BE" w:rsidRPr="00012AE1">
        <w:rPr>
          <w:rFonts w:asciiTheme="minorHAnsi" w:hAnsiTheme="minorHAnsi"/>
          <w:b/>
          <w:sz w:val="22"/>
          <w:szCs w:val="22"/>
        </w:rPr>
        <w:t>we</w:t>
      </w:r>
      <w:r w:rsidR="003208BE" w:rsidRPr="00012AE1">
        <w:rPr>
          <w:rFonts w:asciiTheme="minorHAnsi" w:hAnsiTheme="minorHAnsi"/>
          <w:sz w:val="22"/>
          <w:szCs w:val="22"/>
        </w:rPr>
        <w:t>”, “</w:t>
      </w:r>
      <w:r w:rsidR="003208BE" w:rsidRPr="00012AE1">
        <w:rPr>
          <w:rFonts w:asciiTheme="minorHAnsi" w:hAnsiTheme="minorHAnsi"/>
          <w:b/>
          <w:sz w:val="22"/>
          <w:szCs w:val="22"/>
        </w:rPr>
        <w:t>us</w:t>
      </w:r>
      <w:r w:rsidR="003208BE" w:rsidRPr="00012AE1">
        <w:rPr>
          <w:rFonts w:asciiTheme="minorHAnsi" w:hAnsiTheme="minorHAnsi"/>
          <w:sz w:val="22"/>
          <w:szCs w:val="22"/>
        </w:rPr>
        <w:t>” or “</w:t>
      </w:r>
      <w:r w:rsidR="003208BE" w:rsidRPr="00012AE1">
        <w:rPr>
          <w:rFonts w:asciiTheme="minorHAnsi" w:hAnsiTheme="minorHAnsi"/>
          <w:b/>
          <w:sz w:val="22"/>
          <w:szCs w:val="22"/>
        </w:rPr>
        <w:t>our</w:t>
      </w:r>
      <w:r w:rsidR="003208BE" w:rsidRPr="00012AE1">
        <w:rPr>
          <w:rFonts w:asciiTheme="minorHAnsi" w:hAnsiTheme="minorHAnsi"/>
          <w:sz w:val="22"/>
          <w:szCs w:val="22"/>
        </w:rPr>
        <w:t>”) to be ‘material’ to the Trust</w:t>
      </w:r>
      <w:r w:rsidR="0045230F">
        <w:rPr>
          <w:rFonts w:asciiTheme="minorHAnsi" w:hAnsiTheme="minorHAnsi"/>
          <w:sz w:val="22"/>
          <w:szCs w:val="22"/>
        </w:rPr>
        <w:t xml:space="preserve"> </w:t>
      </w:r>
      <w:r w:rsidR="00F574FD">
        <w:rPr>
          <w:rFonts w:asciiTheme="minorHAnsi" w:hAnsiTheme="minorHAnsi"/>
          <w:sz w:val="22"/>
          <w:szCs w:val="22"/>
        </w:rPr>
        <w:t xml:space="preserve">Management </w:t>
      </w:r>
      <w:r w:rsidR="00347A5A">
        <w:rPr>
          <w:rFonts w:asciiTheme="minorHAnsi" w:hAnsiTheme="minorHAnsi"/>
          <w:sz w:val="22"/>
          <w:szCs w:val="22"/>
        </w:rPr>
        <w:t>PIE</w:t>
      </w:r>
      <w:r w:rsidR="003208BE" w:rsidRPr="00012AE1">
        <w:rPr>
          <w:rFonts w:asciiTheme="minorHAnsi" w:hAnsiTheme="minorHAnsi"/>
          <w:sz w:val="22"/>
          <w:szCs w:val="22"/>
        </w:rPr>
        <w:t xml:space="preserve"> Funds (“</w:t>
      </w:r>
      <w:r w:rsidR="003208BE" w:rsidRPr="00012AE1">
        <w:rPr>
          <w:rFonts w:asciiTheme="minorHAnsi" w:hAnsiTheme="minorHAnsi"/>
          <w:b/>
          <w:sz w:val="22"/>
          <w:szCs w:val="22"/>
        </w:rPr>
        <w:t>Funds</w:t>
      </w:r>
      <w:r w:rsidR="003208BE" w:rsidRPr="00012AE1">
        <w:rPr>
          <w:rFonts w:asciiTheme="minorHAnsi" w:hAnsiTheme="minorHAnsi"/>
          <w:sz w:val="22"/>
          <w:szCs w:val="22"/>
        </w:rPr>
        <w:t>”) that i</w:t>
      </w:r>
      <w:r w:rsidR="00A347AE" w:rsidRPr="00012AE1">
        <w:rPr>
          <w:rFonts w:asciiTheme="minorHAnsi" w:hAnsiTheme="minorHAnsi"/>
          <w:sz w:val="22"/>
          <w:szCs w:val="22"/>
        </w:rPr>
        <w:t>s</w:t>
      </w:r>
      <w:r w:rsidR="003208BE" w:rsidRPr="00012AE1">
        <w:rPr>
          <w:rFonts w:asciiTheme="minorHAnsi" w:hAnsiTheme="minorHAnsi"/>
          <w:sz w:val="22"/>
          <w:szCs w:val="22"/>
        </w:rPr>
        <w:t xml:space="preserve"> not contained in the Product Disclosure Statement for the Funds (“</w:t>
      </w:r>
      <w:r w:rsidR="003208BE" w:rsidRPr="00012AE1">
        <w:rPr>
          <w:rFonts w:asciiTheme="minorHAnsi" w:hAnsiTheme="minorHAnsi"/>
          <w:b/>
          <w:sz w:val="22"/>
          <w:szCs w:val="22"/>
        </w:rPr>
        <w:t>PDS</w:t>
      </w:r>
      <w:r w:rsidR="003208BE" w:rsidRPr="00012AE1">
        <w:rPr>
          <w:rFonts w:asciiTheme="minorHAnsi" w:hAnsiTheme="minorHAnsi"/>
          <w:sz w:val="22"/>
          <w:szCs w:val="22"/>
        </w:rPr>
        <w:t>”)</w:t>
      </w:r>
      <w:r w:rsidR="008D1504" w:rsidRPr="00012AE1">
        <w:rPr>
          <w:rFonts w:asciiTheme="minorHAnsi" w:hAnsiTheme="minorHAnsi"/>
          <w:sz w:val="22"/>
          <w:szCs w:val="22"/>
        </w:rPr>
        <w:t xml:space="preserve"> or otherwise contained in the offer register entry for the Funds at </w:t>
      </w:r>
      <w:hyperlink r:id="rId9" w:history="1">
        <w:r w:rsidR="00976AAE" w:rsidRPr="00BE259D">
          <w:rPr>
            <w:rStyle w:val="Hyperlink"/>
            <w:rFonts w:asciiTheme="minorHAnsi" w:hAnsiTheme="minorHAnsi"/>
            <w:sz w:val="22"/>
            <w:szCs w:val="22"/>
          </w:rPr>
          <w:t>https://disclose-register.companiesoffice.govt.nz</w:t>
        </w:r>
      </w:hyperlink>
      <w:r w:rsidR="003208BE" w:rsidRPr="00012AE1">
        <w:rPr>
          <w:rFonts w:asciiTheme="minorHAnsi" w:hAnsiTheme="minorHAnsi"/>
          <w:sz w:val="22"/>
          <w:szCs w:val="22"/>
        </w:rPr>
        <w:t>.</w:t>
      </w:r>
    </w:p>
    <w:p w:rsidR="00784025" w:rsidRPr="00012AE1" w:rsidRDefault="00A347AE" w:rsidP="00012AE1">
      <w:pPr>
        <w:overflowPunct/>
        <w:autoSpaceDE/>
        <w:autoSpaceDN/>
        <w:adjustRightInd/>
        <w:spacing w:after="200"/>
        <w:jc w:val="left"/>
        <w:textAlignment w:val="auto"/>
        <w:rPr>
          <w:rFonts w:asciiTheme="minorHAnsi" w:hAnsiTheme="minorHAnsi"/>
          <w:sz w:val="22"/>
          <w:szCs w:val="22"/>
        </w:rPr>
      </w:pPr>
      <w:r w:rsidRPr="00012AE1">
        <w:rPr>
          <w:rFonts w:asciiTheme="minorHAnsi" w:hAnsiTheme="minorHAnsi"/>
          <w:sz w:val="22"/>
          <w:szCs w:val="22"/>
        </w:rPr>
        <w:t>This d</w:t>
      </w:r>
      <w:r w:rsidR="003208BE" w:rsidRPr="00012AE1">
        <w:rPr>
          <w:rFonts w:asciiTheme="minorHAnsi" w:hAnsiTheme="minorHAnsi"/>
          <w:sz w:val="22"/>
          <w:szCs w:val="22"/>
        </w:rPr>
        <w:t xml:space="preserve">ocument </w:t>
      </w:r>
      <w:r w:rsidR="00784025" w:rsidRPr="00012AE1">
        <w:rPr>
          <w:rFonts w:asciiTheme="minorHAnsi" w:hAnsiTheme="minorHAnsi"/>
          <w:sz w:val="22"/>
          <w:szCs w:val="22"/>
        </w:rPr>
        <w:t>has been prepared to meet the requirements of section 57(1)(b)(ii) of the Financial Markets Conduct Act 2013 (“</w:t>
      </w:r>
      <w:r w:rsidR="00784025" w:rsidRPr="00012AE1">
        <w:rPr>
          <w:rFonts w:asciiTheme="minorHAnsi" w:hAnsiTheme="minorHAnsi"/>
          <w:b/>
          <w:sz w:val="22"/>
          <w:szCs w:val="22"/>
        </w:rPr>
        <w:t>FMC Act</w:t>
      </w:r>
      <w:r w:rsidR="00784025" w:rsidRPr="00012AE1">
        <w:rPr>
          <w:rFonts w:asciiTheme="minorHAnsi" w:hAnsiTheme="minorHAnsi"/>
          <w:sz w:val="22"/>
          <w:szCs w:val="22"/>
        </w:rPr>
        <w:t xml:space="preserve">”) and </w:t>
      </w:r>
      <w:r w:rsidR="008D1504" w:rsidRPr="00012AE1">
        <w:rPr>
          <w:rFonts w:asciiTheme="minorHAnsi" w:hAnsiTheme="minorHAnsi"/>
          <w:sz w:val="22"/>
          <w:szCs w:val="22"/>
        </w:rPr>
        <w:t xml:space="preserve">components of </w:t>
      </w:r>
      <w:r w:rsidR="00784025" w:rsidRPr="00012AE1">
        <w:rPr>
          <w:rFonts w:asciiTheme="minorHAnsi" w:hAnsiTheme="minorHAnsi"/>
          <w:sz w:val="22"/>
          <w:szCs w:val="22"/>
        </w:rPr>
        <w:t>clause 52 of Schedule 4 of the Financial Markets Conduct Regulations 2014 (“</w:t>
      </w:r>
      <w:r w:rsidR="00784025" w:rsidRPr="00012AE1">
        <w:rPr>
          <w:rFonts w:asciiTheme="minorHAnsi" w:hAnsiTheme="minorHAnsi"/>
          <w:b/>
          <w:sz w:val="22"/>
          <w:szCs w:val="22"/>
        </w:rPr>
        <w:t>FMC Regulations</w:t>
      </w:r>
      <w:r w:rsidR="00784025" w:rsidRPr="00012AE1">
        <w:rPr>
          <w:rFonts w:asciiTheme="minorHAnsi" w:hAnsiTheme="minorHAnsi"/>
          <w:sz w:val="22"/>
          <w:szCs w:val="22"/>
        </w:rPr>
        <w:t>”)</w:t>
      </w:r>
      <w:r w:rsidR="00C012FE" w:rsidRPr="00012AE1">
        <w:rPr>
          <w:rFonts w:asciiTheme="minorHAnsi" w:hAnsiTheme="minorHAnsi"/>
          <w:sz w:val="22"/>
          <w:szCs w:val="22"/>
        </w:rPr>
        <w:t>.</w:t>
      </w:r>
      <w:r w:rsidR="00784025" w:rsidRPr="00012AE1">
        <w:rPr>
          <w:rFonts w:asciiTheme="minorHAnsi" w:hAnsiTheme="minorHAnsi"/>
          <w:sz w:val="22"/>
          <w:szCs w:val="22"/>
        </w:rPr>
        <w:t xml:space="preserve"> All legislation referred to in this </w:t>
      </w:r>
      <w:r w:rsidRPr="00012AE1">
        <w:rPr>
          <w:rFonts w:asciiTheme="minorHAnsi" w:hAnsiTheme="minorHAnsi"/>
          <w:sz w:val="22"/>
          <w:szCs w:val="22"/>
        </w:rPr>
        <w:t>d</w:t>
      </w:r>
      <w:r w:rsidR="00784025" w:rsidRPr="00012AE1">
        <w:rPr>
          <w:rFonts w:asciiTheme="minorHAnsi" w:hAnsiTheme="minorHAnsi"/>
          <w:sz w:val="22"/>
          <w:szCs w:val="22"/>
        </w:rPr>
        <w:t xml:space="preserve">ocument can be viewed at </w:t>
      </w:r>
      <w:hyperlink r:id="rId10" w:history="1">
        <w:r w:rsidR="00784025" w:rsidRPr="00012AE1">
          <w:rPr>
            <w:rStyle w:val="Hyperlink"/>
            <w:rFonts w:asciiTheme="minorHAnsi" w:hAnsiTheme="minorHAnsi"/>
            <w:sz w:val="22"/>
            <w:szCs w:val="22"/>
          </w:rPr>
          <w:t>www.legislation.govt.nz</w:t>
        </w:r>
      </w:hyperlink>
      <w:r w:rsidR="00784025" w:rsidRPr="00012AE1">
        <w:rPr>
          <w:rFonts w:asciiTheme="minorHAnsi" w:hAnsiTheme="minorHAnsi"/>
          <w:sz w:val="22"/>
          <w:szCs w:val="22"/>
        </w:rPr>
        <w:t>.</w:t>
      </w:r>
    </w:p>
    <w:p w:rsidR="00CD4A99" w:rsidRPr="00012AE1" w:rsidRDefault="003208BE" w:rsidP="00012AE1">
      <w:pPr>
        <w:overflowPunct/>
        <w:autoSpaceDE/>
        <w:autoSpaceDN/>
        <w:adjustRightInd/>
        <w:spacing w:after="200"/>
        <w:jc w:val="left"/>
        <w:textAlignment w:val="auto"/>
        <w:rPr>
          <w:rFonts w:asciiTheme="minorHAnsi" w:hAnsiTheme="minorHAnsi"/>
          <w:sz w:val="22"/>
          <w:szCs w:val="22"/>
        </w:rPr>
      </w:pPr>
      <w:r w:rsidRPr="00012AE1">
        <w:rPr>
          <w:rFonts w:asciiTheme="minorHAnsi" w:hAnsiTheme="minorHAnsi"/>
          <w:sz w:val="22"/>
          <w:szCs w:val="22"/>
        </w:rPr>
        <w:t xml:space="preserve">In this </w:t>
      </w:r>
      <w:r w:rsidR="00A347AE" w:rsidRPr="00012AE1">
        <w:rPr>
          <w:rFonts w:asciiTheme="minorHAnsi" w:hAnsiTheme="minorHAnsi"/>
          <w:sz w:val="22"/>
          <w:szCs w:val="22"/>
        </w:rPr>
        <w:t>d</w:t>
      </w:r>
      <w:r w:rsidRPr="00012AE1">
        <w:rPr>
          <w:rFonts w:asciiTheme="minorHAnsi" w:hAnsiTheme="minorHAnsi"/>
          <w:sz w:val="22"/>
          <w:szCs w:val="22"/>
        </w:rPr>
        <w:t xml:space="preserve">ocument, </w:t>
      </w:r>
      <w:bookmarkStart w:id="3" w:name="_Toc434504759"/>
      <w:bookmarkStart w:id="4" w:name="_Toc434504760"/>
      <w:bookmarkStart w:id="5" w:name="_Toc434504761"/>
      <w:bookmarkStart w:id="6" w:name="_Toc434504762"/>
      <w:bookmarkStart w:id="7" w:name="_Toc434504763"/>
      <w:bookmarkStart w:id="8" w:name="_Toc434504764"/>
      <w:bookmarkStart w:id="9" w:name="_Toc434504765"/>
      <w:bookmarkStart w:id="10" w:name="_Toc434504776"/>
      <w:bookmarkStart w:id="11" w:name="_Toc434504794"/>
      <w:bookmarkStart w:id="12" w:name="_Toc434504800"/>
      <w:bookmarkStart w:id="13" w:name="_Toc434504806"/>
      <w:bookmarkStart w:id="14" w:name="_Toc434504818"/>
      <w:bookmarkStart w:id="15" w:name="_Toc434504819"/>
      <w:bookmarkStart w:id="16" w:name="_Toc434504820"/>
      <w:bookmarkStart w:id="17" w:name="_Toc43450482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784025" w:rsidRPr="00012AE1">
        <w:rPr>
          <w:rFonts w:asciiTheme="minorHAnsi" w:hAnsiTheme="minorHAnsi"/>
          <w:sz w:val="22"/>
          <w:szCs w:val="22"/>
        </w:rPr>
        <w:t>the words “you” or “your” refers to a person or entity that is an Investor that invests in the Funds</w:t>
      </w:r>
      <w:r w:rsidRPr="00012AE1">
        <w:rPr>
          <w:rFonts w:asciiTheme="minorHAnsi" w:hAnsiTheme="minorHAnsi"/>
          <w:sz w:val="22"/>
          <w:szCs w:val="22"/>
        </w:rPr>
        <w:t xml:space="preserve">. </w:t>
      </w:r>
      <w:r w:rsidR="00E34586" w:rsidRPr="00012AE1">
        <w:rPr>
          <w:rFonts w:asciiTheme="minorHAnsi" w:hAnsiTheme="minorHAnsi"/>
          <w:sz w:val="22"/>
          <w:szCs w:val="22"/>
        </w:rPr>
        <w:t>Capitalised terms have the same meaning as in the Trust Deed, unless they are otherwise defined in this document.</w:t>
      </w:r>
    </w:p>
    <w:p w:rsidR="00FD7392" w:rsidRPr="00012AE1" w:rsidRDefault="00FD7392" w:rsidP="00012AE1">
      <w:pPr>
        <w:overflowPunct/>
        <w:autoSpaceDE/>
        <w:autoSpaceDN/>
        <w:adjustRightInd/>
        <w:spacing w:after="200"/>
        <w:jc w:val="left"/>
        <w:textAlignment w:val="auto"/>
        <w:rPr>
          <w:rFonts w:asciiTheme="minorHAnsi" w:hAnsiTheme="minorHAnsi"/>
          <w:sz w:val="22"/>
          <w:szCs w:val="22"/>
        </w:rPr>
      </w:pPr>
      <w:r w:rsidRPr="00012AE1">
        <w:rPr>
          <w:rFonts w:asciiTheme="minorHAnsi" w:hAnsiTheme="minorHAnsi"/>
          <w:sz w:val="22"/>
          <w:szCs w:val="22"/>
        </w:rPr>
        <w:t>None of Trust Management, The New Zealand Guardian Trust Company Limited, or any director or nominee of any of those entities, or any other person guarantees the Funds’ performance, returns or repayment of capital.</w:t>
      </w:r>
      <w:r w:rsidR="00012AE1" w:rsidRPr="00012AE1">
        <w:rPr>
          <w:rFonts w:asciiTheme="minorHAnsi" w:hAnsiTheme="minorHAnsi" w:cs="Arial"/>
          <w:b/>
          <w:noProof/>
          <w:color w:val="006600"/>
          <w:sz w:val="28"/>
          <w:szCs w:val="28"/>
        </w:rPr>
        <w:t xml:space="preserve"> </w:t>
      </w:r>
    </w:p>
    <w:p w:rsidR="00912749" w:rsidRPr="000C7723" w:rsidRDefault="00784025" w:rsidP="00012AE1">
      <w:pPr>
        <w:pStyle w:val="Heading1"/>
      </w:pPr>
      <w:bookmarkStart w:id="18" w:name="_Toc34647172"/>
      <w:bookmarkStart w:id="19" w:name="_Toc34916722"/>
      <w:r>
        <w:t>Funds</w:t>
      </w:r>
      <w:bookmarkEnd w:id="18"/>
      <w:bookmarkEnd w:id="19"/>
    </w:p>
    <w:p w:rsidR="00912749" w:rsidRPr="00012AE1" w:rsidRDefault="00A347AE" w:rsidP="00912749">
      <w:pPr>
        <w:overflowPunct/>
        <w:contextualSpacing/>
        <w:textAlignment w:val="auto"/>
        <w:rPr>
          <w:rFonts w:asciiTheme="minorHAnsi" w:hAnsiTheme="minorHAnsi"/>
          <w:sz w:val="22"/>
          <w:szCs w:val="22"/>
        </w:rPr>
      </w:pPr>
      <w:r w:rsidRPr="00012AE1">
        <w:rPr>
          <w:rFonts w:asciiTheme="minorHAnsi" w:hAnsiTheme="minorHAnsi"/>
          <w:sz w:val="22"/>
          <w:szCs w:val="22"/>
        </w:rPr>
        <w:t>This d</w:t>
      </w:r>
      <w:r w:rsidR="00CD4A99" w:rsidRPr="00012AE1">
        <w:rPr>
          <w:rFonts w:asciiTheme="minorHAnsi" w:hAnsiTheme="minorHAnsi"/>
          <w:sz w:val="22"/>
          <w:szCs w:val="22"/>
        </w:rPr>
        <w:t>ocument relates to the offer of units in the following Funds:</w:t>
      </w:r>
    </w:p>
    <w:p w:rsidR="00CD4A99" w:rsidRPr="00012AE1" w:rsidRDefault="00CD4A99" w:rsidP="00912749">
      <w:pPr>
        <w:overflowPunct/>
        <w:contextualSpacing/>
        <w:textAlignment w:val="auto"/>
        <w:rPr>
          <w:rFonts w:asciiTheme="minorHAnsi" w:hAnsiTheme="minorHAnsi"/>
          <w:sz w:val="22"/>
          <w:szCs w:val="22"/>
        </w:rPr>
      </w:pPr>
    </w:p>
    <w:tbl>
      <w:tblPr>
        <w:tblStyle w:val="TableGrid"/>
        <w:tblW w:w="0" w:type="auto"/>
        <w:tblLook w:val="04A0" w:firstRow="1" w:lastRow="0" w:firstColumn="1" w:lastColumn="0" w:noHBand="0" w:noVBand="1"/>
      </w:tblPr>
      <w:tblGrid>
        <w:gridCol w:w="5637"/>
        <w:gridCol w:w="3142"/>
      </w:tblGrid>
      <w:tr w:rsidR="00F5371F">
        <w:tc>
          <w:tcPr>
            <w:tcW w:w="5637" w:type="dxa"/>
            <w:shd w:val="clear" w:color="auto" w:fill="00B050"/>
          </w:tcPr>
          <w:p w:rsidR="00CD4A99" w:rsidRPr="00012AE1" w:rsidRDefault="00CD4A99" w:rsidP="00CD4A99">
            <w:pPr>
              <w:overflowPunct/>
              <w:spacing w:before="120" w:after="120"/>
              <w:contextualSpacing/>
              <w:textAlignment w:val="auto"/>
              <w:rPr>
                <w:rFonts w:asciiTheme="minorHAnsi" w:hAnsiTheme="minorHAnsi"/>
                <w:b/>
                <w:color w:val="FFFFFF" w:themeColor="background1"/>
                <w:sz w:val="22"/>
              </w:rPr>
            </w:pPr>
            <w:r w:rsidRPr="00012AE1">
              <w:rPr>
                <w:rFonts w:asciiTheme="minorHAnsi" w:hAnsiTheme="minorHAnsi"/>
                <w:b/>
                <w:color w:val="FFFFFF" w:themeColor="background1"/>
                <w:sz w:val="22"/>
              </w:rPr>
              <w:t>Fund</w:t>
            </w:r>
          </w:p>
        </w:tc>
        <w:tc>
          <w:tcPr>
            <w:tcW w:w="3142" w:type="dxa"/>
            <w:shd w:val="clear" w:color="auto" w:fill="00B050"/>
          </w:tcPr>
          <w:p w:rsidR="00CD4A99" w:rsidRPr="00012AE1" w:rsidRDefault="001E2529" w:rsidP="00CD4A99">
            <w:pPr>
              <w:overflowPunct/>
              <w:spacing w:before="120" w:after="120"/>
              <w:contextualSpacing/>
              <w:textAlignment w:val="auto"/>
              <w:rPr>
                <w:rFonts w:asciiTheme="minorHAnsi" w:hAnsiTheme="minorHAnsi"/>
                <w:b/>
                <w:color w:val="FFFFFF" w:themeColor="background1"/>
                <w:sz w:val="22"/>
              </w:rPr>
            </w:pPr>
            <w:r w:rsidRPr="00012AE1">
              <w:rPr>
                <w:rFonts w:asciiTheme="minorHAnsi" w:hAnsiTheme="minorHAnsi"/>
                <w:b/>
                <w:color w:val="FFFFFF" w:themeColor="background1"/>
                <w:sz w:val="22"/>
              </w:rPr>
              <w:t>Date the Fund started</w:t>
            </w:r>
          </w:p>
        </w:tc>
      </w:tr>
      <w:tr w:rsidR="00F5371F">
        <w:tc>
          <w:tcPr>
            <w:tcW w:w="5637" w:type="dxa"/>
          </w:tcPr>
          <w:p w:rsidR="00CD4A99" w:rsidRPr="00012AE1" w:rsidRDefault="001E2529" w:rsidP="00F574FD">
            <w:pPr>
              <w:overflowPunct/>
              <w:spacing w:before="120" w:after="120"/>
              <w:contextualSpacing/>
              <w:textAlignment w:val="auto"/>
              <w:rPr>
                <w:rFonts w:asciiTheme="minorHAnsi" w:hAnsiTheme="minorHAnsi"/>
                <w:sz w:val="22"/>
              </w:rPr>
            </w:pPr>
            <w:r w:rsidRPr="00012AE1">
              <w:rPr>
                <w:rFonts w:asciiTheme="minorHAnsi" w:hAnsiTheme="minorHAnsi"/>
                <w:sz w:val="22"/>
              </w:rPr>
              <w:t xml:space="preserve">Trust </w:t>
            </w:r>
            <w:r w:rsidR="00F574FD">
              <w:rPr>
                <w:rFonts w:asciiTheme="minorHAnsi" w:hAnsiTheme="minorHAnsi"/>
                <w:sz w:val="22"/>
              </w:rPr>
              <w:t>Management</w:t>
            </w:r>
            <w:r w:rsidR="00F574FD" w:rsidRPr="00012AE1">
              <w:rPr>
                <w:rFonts w:asciiTheme="minorHAnsi" w:hAnsiTheme="minorHAnsi"/>
                <w:sz w:val="22"/>
              </w:rPr>
              <w:t xml:space="preserve"> </w:t>
            </w:r>
            <w:r w:rsidRPr="00012AE1">
              <w:rPr>
                <w:rFonts w:asciiTheme="minorHAnsi" w:hAnsiTheme="minorHAnsi"/>
                <w:sz w:val="22"/>
              </w:rPr>
              <w:t>– Property Fund</w:t>
            </w:r>
          </w:p>
        </w:tc>
        <w:tc>
          <w:tcPr>
            <w:tcW w:w="3142" w:type="dxa"/>
          </w:tcPr>
          <w:p w:rsidR="00CD4A99" w:rsidRPr="00012AE1" w:rsidRDefault="00347A5A" w:rsidP="00347A5A">
            <w:pPr>
              <w:overflowPunct/>
              <w:spacing w:before="120" w:after="120"/>
              <w:contextualSpacing/>
              <w:textAlignment w:val="auto"/>
              <w:rPr>
                <w:rFonts w:asciiTheme="minorHAnsi" w:hAnsiTheme="minorHAnsi"/>
                <w:sz w:val="22"/>
              </w:rPr>
            </w:pPr>
            <w:r>
              <w:rPr>
                <w:rFonts w:asciiTheme="minorHAnsi" w:hAnsiTheme="minorHAnsi"/>
                <w:sz w:val="22"/>
              </w:rPr>
              <w:t>1 April 2020</w:t>
            </w:r>
          </w:p>
        </w:tc>
      </w:tr>
      <w:tr w:rsidR="00F5371F">
        <w:tc>
          <w:tcPr>
            <w:tcW w:w="5637" w:type="dxa"/>
          </w:tcPr>
          <w:p w:rsidR="00CD4A99" w:rsidRPr="00012AE1" w:rsidRDefault="001E2529" w:rsidP="00F574FD">
            <w:pPr>
              <w:overflowPunct/>
              <w:spacing w:before="120" w:after="120"/>
              <w:contextualSpacing/>
              <w:textAlignment w:val="auto"/>
              <w:rPr>
                <w:rFonts w:asciiTheme="minorHAnsi" w:hAnsiTheme="minorHAnsi"/>
                <w:sz w:val="22"/>
              </w:rPr>
            </w:pPr>
            <w:r w:rsidRPr="00012AE1">
              <w:rPr>
                <w:rFonts w:asciiTheme="minorHAnsi" w:hAnsiTheme="minorHAnsi"/>
                <w:sz w:val="22"/>
              </w:rPr>
              <w:t xml:space="preserve">Trust </w:t>
            </w:r>
            <w:r w:rsidR="00F574FD">
              <w:rPr>
                <w:rFonts w:asciiTheme="minorHAnsi" w:hAnsiTheme="minorHAnsi"/>
                <w:sz w:val="22"/>
              </w:rPr>
              <w:t>Management</w:t>
            </w:r>
            <w:r w:rsidR="00F574FD" w:rsidRPr="00012AE1">
              <w:rPr>
                <w:rFonts w:asciiTheme="minorHAnsi" w:hAnsiTheme="minorHAnsi"/>
                <w:sz w:val="22"/>
              </w:rPr>
              <w:t xml:space="preserve"> </w:t>
            </w:r>
            <w:r w:rsidRPr="00012AE1">
              <w:rPr>
                <w:rFonts w:asciiTheme="minorHAnsi" w:hAnsiTheme="minorHAnsi"/>
                <w:sz w:val="22"/>
              </w:rPr>
              <w:t xml:space="preserve">– Sustainable </w:t>
            </w:r>
            <w:r w:rsidR="008D1504" w:rsidRPr="00012AE1">
              <w:rPr>
                <w:rFonts w:asciiTheme="minorHAnsi" w:hAnsiTheme="minorHAnsi"/>
                <w:sz w:val="22"/>
              </w:rPr>
              <w:t>Australasian</w:t>
            </w:r>
            <w:r w:rsidRPr="00012AE1">
              <w:rPr>
                <w:rFonts w:asciiTheme="minorHAnsi" w:hAnsiTheme="minorHAnsi"/>
                <w:sz w:val="22"/>
              </w:rPr>
              <w:t xml:space="preserve"> Share Fund</w:t>
            </w:r>
          </w:p>
        </w:tc>
        <w:tc>
          <w:tcPr>
            <w:tcW w:w="3142" w:type="dxa"/>
          </w:tcPr>
          <w:p w:rsidR="00CD4A99" w:rsidRPr="00012AE1" w:rsidRDefault="00347A5A" w:rsidP="00CD4A99">
            <w:pPr>
              <w:overflowPunct/>
              <w:spacing w:before="120" w:after="120"/>
              <w:contextualSpacing/>
              <w:textAlignment w:val="auto"/>
              <w:rPr>
                <w:rFonts w:asciiTheme="minorHAnsi" w:hAnsiTheme="minorHAnsi"/>
                <w:sz w:val="22"/>
              </w:rPr>
            </w:pPr>
            <w:r>
              <w:rPr>
                <w:rFonts w:asciiTheme="minorHAnsi" w:hAnsiTheme="minorHAnsi"/>
                <w:sz w:val="22"/>
              </w:rPr>
              <w:t>1 April 2020</w:t>
            </w:r>
          </w:p>
        </w:tc>
      </w:tr>
      <w:tr w:rsidR="00F5371F">
        <w:tc>
          <w:tcPr>
            <w:tcW w:w="5637" w:type="dxa"/>
          </w:tcPr>
          <w:p w:rsidR="00CD4A99" w:rsidRPr="00012AE1" w:rsidRDefault="001E2529" w:rsidP="00CD4A99">
            <w:pPr>
              <w:overflowPunct/>
              <w:spacing w:before="120" w:after="120"/>
              <w:contextualSpacing/>
              <w:textAlignment w:val="auto"/>
              <w:rPr>
                <w:rFonts w:asciiTheme="minorHAnsi" w:hAnsiTheme="minorHAnsi"/>
                <w:sz w:val="22"/>
              </w:rPr>
            </w:pPr>
            <w:r w:rsidRPr="00012AE1">
              <w:rPr>
                <w:rFonts w:asciiTheme="minorHAnsi" w:hAnsiTheme="minorHAnsi"/>
                <w:sz w:val="22"/>
              </w:rPr>
              <w:t xml:space="preserve">Trust </w:t>
            </w:r>
            <w:r w:rsidR="00F574FD">
              <w:rPr>
                <w:rFonts w:asciiTheme="minorHAnsi" w:hAnsiTheme="minorHAnsi"/>
                <w:sz w:val="22"/>
              </w:rPr>
              <w:t>Management</w:t>
            </w:r>
            <w:r w:rsidR="00F574FD" w:rsidRPr="00012AE1" w:rsidDel="00F574FD">
              <w:rPr>
                <w:rFonts w:asciiTheme="minorHAnsi" w:hAnsiTheme="minorHAnsi"/>
                <w:sz w:val="22"/>
              </w:rPr>
              <w:t xml:space="preserve"> </w:t>
            </w:r>
            <w:r w:rsidRPr="00012AE1">
              <w:rPr>
                <w:rFonts w:asciiTheme="minorHAnsi" w:hAnsiTheme="minorHAnsi"/>
                <w:sz w:val="22"/>
              </w:rPr>
              <w:t>– NZ Bond Fund</w:t>
            </w:r>
          </w:p>
        </w:tc>
        <w:tc>
          <w:tcPr>
            <w:tcW w:w="3142" w:type="dxa"/>
          </w:tcPr>
          <w:p w:rsidR="00CD4A99" w:rsidRPr="00012AE1" w:rsidRDefault="00347A5A" w:rsidP="00CD4A99">
            <w:pPr>
              <w:overflowPunct/>
              <w:spacing w:before="120" w:after="120"/>
              <w:contextualSpacing/>
              <w:textAlignment w:val="auto"/>
              <w:rPr>
                <w:rFonts w:asciiTheme="minorHAnsi" w:hAnsiTheme="minorHAnsi"/>
                <w:sz w:val="22"/>
              </w:rPr>
            </w:pPr>
            <w:r>
              <w:rPr>
                <w:rFonts w:asciiTheme="minorHAnsi" w:hAnsiTheme="minorHAnsi"/>
                <w:sz w:val="22"/>
              </w:rPr>
              <w:t>1 April 2020</w:t>
            </w:r>
          </w:p>
        </w:tc>
      </w:tr>
      <w:tr w:rsidR="00F5371F">
        <w:tc>
          <w:tcPr>
            <w:tcW w:w="5637" w:type="dxa"/>
          </w:tcPr>
          <w:p w:rsidR="00CD4A99" w:rsidRPr="00012AE1" w:rsidRDefault="001E2529" w:rsidP="00F574FD">
            <w:pPr>
              <w:overflowPunct/>
              <w:spacing w:before="120" w:after="120"/>
              <w:contextualSpacing/>
              <w:textAlignment w:val="auto"/>
              <w:rPr>
                <w:rFonts w:asciiTheme="minorHAnsi" w:hAnsiTheme="minorHAnsi"/>
                <w:sz w:val="22"/>
              </w:rPr>
            </w:pPr>
            <w:r w:rsidRPr="00012AE1">
              <w:rPr>
                <w:rFonts w:asciiTheme="minorHAnsi" w:hAnsiTheme="minorHAnsi"/>
                <w:sz w:val="22"/>
              </w:rPr>
              <w:t xml:space="preserve">Trust </w:t>
            </w:r>
            <w:r w:rsidR="00F574FD">
              <w:rPr>
                <w:rFonts w:asciiTheme="minorHAnsi" w:hAnsiTheme="minorHAnsi"/>
                <w:sz w:val="22"/>
              </w:rPr>
              <w:t>Management</w:t>
            </w:r>
            <w:r w:rsidR="00F574FD" w:rsidRPr="00012AE1" w:rsidDel="00F574FD">
              <w:rPr>
                <w:rFonts w:asciiTheme="minorHAnsi" w:hAnsiTheme="minorHAnsi"/>
                <w:sz w:val="22"/>
              </w:rPr>
              <w:t xml:space="preserve"> </w:t>
            </w:r>
            <w:r w:rsidRPr="00012AE1">
              <w:rPr>
                <w:rFonts w:asciiTheme="minorHAnsi" w:hAnsiTheme="minorHAnsi"/>
                <w:sz w:val="22"/>
              </w:rPr>
              <w:t>– International Share Fund</w:t>
            </w:r>
          </w:p>
        </w:tc>
        <w:tc>
          <w:tcPr>
            <w:tcW w:w="3142" w:type="dxa"/>
          </w:tcPr>
          <w:p w:rsidR="00CD4A99" w:rsidRPr="00012AE1" w:rsidRDefault="00347A5A" w:rsidP="00CD4A99">
            <w:pPr>
              <w:overflowPunct/>
              <w:spacing w:before="120" w:after="120"/>
              <w:contextualSpacing/>
              <w:textAlignment w:val="auto"/>
              <w:rPr>
                <w:rFonts w:asciiTheme="minorHAnsi" w:hAnsiTheme="minorHAnsi"/>
                <w:sz w:val="22"/>
              </w:rPr>
            </w:pPr>
            <w:r>
              <w:rPr>
                <w:rFonts w:asciiTheme="minorHAnsi" w:hAnsiTheme="minorHAnsi"/>
                <w:sz w:val="22"/>
              </w:rPr>
              <w:t>1 April 2020</w:t>
            </w:r>
          </w:p>
        </w:tc>
      </w:tr>
      <w:tr w:rsidR="00F5371F">
        <w:tc>
          <w:tcPr>
            <w:tcW w:w="5637" w:type="dxa"/>
          </w:tcPr>
          <w:p w:rsidR="00CD4A99" w:rsidRPr="00012AE1" w:rsidRDefault="001E2529" w:rsidP="00F574FD">
            <w:pPr>
              <w:overflowPunct/>
              <w:spacing w:before="120" w:after="120"/>
              <w:contextualSpacing/>
              <w:textAlignment w:val="auto"/>
              <w:rPr>
                <w:rFonts w:asciiTheme="minorHAnsi" w:hAnsiTheme="minorHAnsi"/>
                <w:sz w:val="22"/>
              </w:rPr>
            </w:pPr>
            <w:r w:rsidRPr="00012AE1">
              <w:rPr>
                <w:rFonts w:asciiTheme="minorHAnsi" w:hAnsiTheme="minorHAnsi"/>
                <w:sz w:val="22"/>
              </w:rPr>
              <w:t xml:space="preserve">Trust </w:t>
            </w:r>
            <w:r w:rsidR="00F574FD">
              <w:rPr>
                <w:rFonts w:asciiTheme="minorHAnsi" w:hAnsiTheme="minorHAnsi"/>
                <w:sz w:val="22"/>
              </w:rPr>
              <w:t>Management</w:t>
            </w:r>
            <w:r w:rsidR="00F574FD" w:rsidRPr="00012AE1" w:rsidDel="00F574FD">
              <w:rPr>
                <w:rFonts w:asciiTheme="minorHAnsi" w:hAnsiTheme="minorHAnsi"/>
                <w:sz w:val="22"/>
              </w:rPr>
              <w:t xml:space="preserve"> </w:t>
            </w:r>
            <w:r w:rsidRPr="00012AE1">
              <w:rPr>
                <w:rFonts w:asciiTheme="minorHAnsi" w:hAnsiTheme="minorHAnsi"/>
                <w:sz w:val="22"/>
              </w:rPr>
              <w:t>– International Bond Fund</w:t>
            </w:r>
          </w:p>
        </w:tc>
        <w:tc>
          <w:tcPr>
            <w:tcW w:w="3142" w:type="dxa"/>
          </w:tcPr>
          <w:p w:rsidR="00CD4A99" w:rsidRPr="00012AE1" w:rsidRDefault="00347A5A" w:rsidP="00CD4A99">
            <w:pPr>
              <w:overflowPunct/>
              <w:spacing w:before="120" w:after="120"/>
              <w:contextualSpacing/>
              <w:textAlignment w:val="auto"/>
              <w:rPr>
                <w:rFonts w:asciiTheme="minorHAnsi" w:hAnsiTheme="minorHAnsi"/>
                <w:sz w:val="22"/>
              </w:rPr>
            </w:pPr>
            <w:r>
              <w:rPr>
                <w:rFonts w:asciiTheme="minorHAnsi" w:hAnsiTheme="minorHAnsi"/>
                <w:sz w:val="22"/>
              </w:rPr>
              <w:t>1 April 2020</w:t>
            </w:r>
          </w:p>
        </w:tc>
      </w:tr>
      <w:tr w:rsidR="00F5371F">
        <w:tc>
          <w:tcPr>
            <w:tcW w:w="5637" w:type="dxa"/>
          </w:tcPr>
          <w:p w:rsidR="00CD4A99" w:rsidRPr="00012AE1" w:rsidRDefault="001E2529" w:rsidP="00F574FD">
            <w:pPr>
              <w:overflowPunct/>
              <w:spacing w:before="120" w:after="120"/>
              <w:contextualSpacing/>
              <w:textAlignment w:val="auto"/>
              <w:rPr>
                <w:rFonts w:asciiTheme="minorHAnsi" w:hAnsiTheme="minorHAnsi"/>
                <w:sz w:val="22"/>
              </w:rPr>
            </w:pPr>
            <w:r w:rsidRPr="00012AE1">
              <w:rPr>
                <w:rFonts w:asciiTheme="minorHAnsi" w:hAnsiTheme="minorHAnsi"/>
                <w:sz w:val="22"/>
              </w:rPr>
              <w:t xml:space="preserve">Trust </w:t>
            </w:r>
            <w:r w:rsidR="00F574FD">
              <w:rPr>
                <w:rFonts w:asciiTheme="minorHAnsi" w:hAnsiTheme="minorHAnsi"/>
                <w:sz w:val="22"/>
              </w:rPr>
              <w:t>Management</w:t>
            </w:r>
            <w:r w:rsidR="00F574FD" w:rsidRPr="00012AE1" w:rsidDel="00F574FD">
              <w:rPr>
                <w:rFonts w:asciiTheme="minorHAnsi" w:hAnsiTheme="minorHAnsi"/>
                <w:sz w:val="22"/>
              </w:rPr>
              <w:t xml:space="preserve"> </w:t>
            </w:r>
            <w:r w:rsidRPr="00012AE1">
              <w:rPr>
                <w:rFonts w:asciiTheme="minorHAnsi" w:hAnsiTheme="minorHAnsi"/>
                <w:sz w:val="22"/>
              </w:rPr>
              <w:t>– Balanced Fund</w:t>
            </w:r>
          </w:p>
        </w:tc>
        <w:tc>
          <w:tcPr>
            <w:tcW w:w="3142" w:type="dxa"/>
          </w:tcPr>
          <w:p w:rsidR="00CD4A99" w:rsidRPr="00012AE1" w:rsidRDefault="00347A5A" w:rsidP="00CD4A99">
            <w:pPr>
              <w:overflowPunct/>
              <w:spacing w:before="120" w:after="120"/>
              <w:contextualSpacing/>
              <w:textAlignment w:val="auto"/>
              <w:rPr>
                <w:rFonts w:asciiTheme="minorHAnsi" w:hAnsiTheme="minorHAnsi"/>
                <w:sz w:val="22"/>
              </w:rPr>
            </w:pPr>
            <w:r>
              <w:rPr>
                <w:rFonts w:asciiTheme="minorHAnsi" w:hAnsiTheme="minorHAnsi"/>
                <w:sz w:val="22"/>
              </w:rPr>
              <w:t>1 April 2020</w:t>
            </w:r>
          </w:p>
        </w:tc>
      </w:tr>
    </w:tbl>
    <w:p w:rsidR="00CD4A99" w:rsidRPr="00012AE1" w:rsidRDefault="00CD4A99" w:rsidP="00912749">
      <w:pPr>
        <w:overflowPunct/>
        <w:contextualSpacing/>
        <w:textAlignment w:val="auto"/>
        <w:rPr>
          <w:rFonts w:asciiTheme="minorHAnsi" w:hAnsiTheme="minorHAnsi"/>
          <w:sz w:val="22"/>
          <w:szCs w:val="22"/>
        </w:rPr>
      </w:pPr>
    </w:p>
    <w:p w:rsidR="003208BE" w:rsidRPr="00012AE1" w:rsidRDefault="001E2529" w:rsidP="00912749">
      <w:pPr>
        <w:overflowPunct/>
        <w:contextualSpacing/>
        <w:textAlignment w:val="auto"/>
        <w:rPr>
          <w:rFonts w:asciiTheme="minorHAnsi" w:hAnsiTheme="minorHAnsi"/>
          <w:b/>
          <w:sz w:val="22"/>
          <w:szCs w:val="22"/>
        </w:rPr>
      </w:pPr>
      <w:r w:rsidRPr="00012AE1">
        <w:rPr>
          <w:rFonts w:asciiTheme="minorHAnsi" w:hAnsiTheme="minorHAnsi"/>
          <w:sz w:val="22"/>
          <w:szCs w:val="22"/>
        </w:rPr>
        <w:t xml:space="preserve">The Funds are constituted within a registered scheme </w:t>
      </w:r>
      <w:r w:rsidR="003208BE" w:rsidRPr="00012AE1">
        <w:rPr>
          <w:rFonts w:asciiTheme="minorHAnsi" w:hAnsiTheme="minorHAnsi"/>
          <w:sz w:val="22"/>
          <w:szCs w:val="22"/>
        </w:rPr>
        <w:t xml:space="preserve">called the ‘Trust </w:t>
      </w:r>
      <w:r w:rsidR="00F574FD">
        <w:rPr>
          <w:rFonts w:asciiTheme="minorHAnsi" w:hAnsiTheme="minorHAnsi"/>
          <w:sz w:val="22"/>
        </w:rPr>
        <w:t>Management</w:t>
      </w:r>
      <w:r w:rsidR="00F574FD" w:rsidRPr="00012AE1" w:rsidDel="00F574FD">
        <w:rPr>
          <w:rFonts w:asciiTheme="minorHAnsi" w:hAnsiTheme="minorHAnsi"/>
          <w:sz w:val="22"/>
          <w:szCs w:val="22"/>
        </w:rPr>
        <w:t xml:space="preserve"> </w:t>
      </w:r>
      <w:r w:rsidR="00347A5A">
        <w:rPr>
          <w:rFonts w:asciiTheme="minorHAnsi" w:hAnsiTheme="minorHAnsi"/>
          <w:sz w:val="22"/>
          <w:szCs w:val="22"/>
        </w:rPr>
        <w:t>PIE</w:t>
      </w:r>
      <w:r w:rsidR="003208BE" w:rsidRPr="00012AE1">
        <w:rPr>
          <w:rFonts w:asciiTheme="minorHAnsi" w:hAnsiTheme="minorHAnsi"/>
          <w:sz w:val="22"/>
          <w:szCs w:val="22"/>
        </w:rPr>
        <w:t xml:space="preserve"> Funds’</w:t>
      </w:r>
      <w:r w:rsidR="00347A5A" w:rsidRPr="00012AE1">
        <w:rPr>
          <w:rFonts w:asciiTheme="minorHAnsi" w:hAnsiTheme="minorHAnsi"/>
          <w:sz w:val="22"/>
          <w:szCs w:val="22"/>
        </w:rPr>
        <w:t xml:space="preserve"> </w:t>
      </w:r>
      <w:r w:rsidRPr="00012AE1">
        <w:rPr>
          <w:rFonts w:asciiTheme="minorHAnsi" w:hAnsiTheme="minorHAnsi"/>
          <w:sz w:val="22"/>
          <w:szCs w:val="22"/>
        </w:rPr>
        <w:t>(“</w:t>
      </w:r>
      <w:r w:rsidRPr="00012AE1">
        <w:rPr>
          <w:rFonts w:asciiTheme="minorHAnsi" w:hAnsiTheme="minorHAnsi"/>
          <w:b/>
          <w:sz w:val="22"/>
          <w:szCs w:val="22"/>
        </w:rPr>
        <w:t>Scheme</w:t>
      </w:r>
      <w:r w:rsidRPr="00012AE1">
        <w:rPr>
          <w:rFonts w:asciiTheme="minorHAnsi" w:hAnsiTheme="minorHAnsi"/>
          <w:sz w:val="22"/>
          <w:szCs w:val="22"/>
        </w:rPr>
        <w:t xml:space="preserve">”). </w:t>
      </w:r>
      <w:r w:rsidR="003208BE" w:rsidRPr="00012AE1">
        <w:rPr>
          <w:rFonts w:asciiTheme="minorHAnsi" w:hAnsiTheme="minorHAnsi"/>
          <w:sz w:val="22"/>
          <w:szCs w:val="22"/>
        </w:rPr>
        <w:t xml:space="preserve">The Funds were established under a Master Trust Deed dated </w:t>
      </w:r>
      <w:r w:rsidR="00C5363E">
        <w:rPr>
          <w:rFonts w:asciiTheme="minorHAnsi" w:hAnsiTheme="minorHAnsi"/>
          <w:sz w:val="22"/>
          <w:szCs w:val="22"/>
        </w:rPr>
        <w:t xml:space="preserve">18 </w:t>
      </w:r>
      <w:r w:rsidR="00347A5A">
        <w:rPr>
          <w:rFonts w:asciiTheme="minorHAnsi" w:hAnsiTheme="minorHAnsi"/>
          <w:sz w:val="22"/>
          <w:szCs w:val="22"/>
        </w:rPr>
        <w:t>March 2020</w:t>
      </w:r>
      <w:r w:rsidR="003208BE" w:rsidRPr="00012AE1">
        <w:rPr>
          <w:rFonts w:asciiTheme="minorHAnsi" w:hAnsiTheme="minorHAnsi"/>
          <w:sz w:val="22"/>
          <w:szCs w:val="22"/>
        </w:rPr>
        <w:t xml:space="preserve"> (“</w:t>
      </w:r>
      <w:r w:rsidR="003208BE" w:rsidRPr="00012AE1">
        <w:rPr>
          <w:rFonts w:asciiTheme="minorHAnsi" w:hAnsiTheme="minorHAnsi"/>
          <w:b/>
          <w:sz w:val="22"/>
          <w:szCs w:val="22"/>
        </w:rPr>
        <w:t>Trust Deed</w:t>
      </w:r>
      <w:r w:rsidR="003208BE" w:rsidRPr="00012AE1">
        <w:rPr>
          <w:rFonts w:asciiTheme="minorHAnsi" w:hAnsiTheme="minorHAnsi"/>
          <w:sz w:val="22"/>
          <w:szCs w:val="22"/>
        </w:rPr>
        <w:t xml:space="preserve">”), together with a separate Establishment Deed for each Fund. </w:t>
      </w:r>
    </w:p>
    <w:p w:rsidR="003208BE" w:rsidRPr="00012AE1" w:rsidRDefault="003208BE" w:rsidP="00912749">
      <w:pPr>
        <w:overflowPunct/>
        <w:contextualSpacing/>
        <w:textAlignment w:val="auto"/>
        <w:rPr>
          <w:rFonts w:asciiTheme="minorHAnsi" w:hAnsiTheme="minorHAnsi"/>
          <w:b/>
          <w:sz w:val="22"/>
          <w:szCs w:val="22"/>
        </w:rPr>
      </w:pPr>
    </w:p>
    <w:p w:rsidR="00912749" w:rsidRPr="00012AE1" w:rsidRDefault="001E2529" w:rsidP="00912749">
      <w:pPr>
        <w:overflowPunct/>
        <w:contextualSpacing/>
        <w:textAlignment w:val="auto"/>
        <w:rPr>
          <w:rFonts w:asciiTheme="minorHAnsi" w:hAnsiTheme="minorHAnsi"/>
          <w:sz w:val="22"/>
          <w:szCs w:val="22"/>
        </w:rPr>
      </w:pPr>
      <w:r w:rsidRPr="00012AE1">
        <w:rPr>
          <w:rFonts w:asciiTheme="minorHAnsi" w:hAnsiTheme="minorHAnsi"/>
          <w:sz w:val="22"/>
          <w:szCs w:val="22"/>
        </w:rPr>
        <w:t>Each Fund is invested in accordance with the statement of investment policy and objectives (“</w:t>
      </w:r>
      <w:r w:rsidRPr="00012AE1">
        <w:rPr>
          <w:rFonts w:asciiTheme="minorHAnsi" w:hAnsiTheme="minorHAnsi"/>
          <w:b/>
          <w:sz w:val="22"/>
          <w:szCs w:val="22"/>
        </w:rPr>
        <w:t>SIPO</w:t>
      </w:r>
      <w:r w:rsidRPr="00012AE1">
        <w:rPr>
          <w:rFonts w:asciiTheme="minorHAnsi" w:hAnsiTheme="minorHAnsi"/>
          <w:sz w:val="22"/>
          <w:szCs w:val="22"/>
        </w:rPr>
        <w:t xml:space="preserve">”) for </w:t>
      </w:r>
      <w:r w:rsidR="008D1504" w:rsidRPr="00012AE1">
        <w:rPr>
          <w:rFonts w:asciiTheme="minorHAnsi" w:hAnsiTheme="minorHAnsi"/>
          <w:sz w:val="22"/>
          <w:szCs w:val="22"/>
        </w:rPr>
        <w:t xml:space="preserve">the </w:t>
      </w:r>
      <w:r w:rsidRPr="00012AE1">
        <w:rPr>
          <w:rFonts w:asciiTheme="minorHAnsi" w:hAnsiTheme="minorHAnsi"/>
          <w:sz w:val="22"/>
          <w:szCs w:val="22"/>
        </w:rPr>
        <w:t>Fund</w:t>
      </w:r>
      <w:r w:rsidR="008D1504" w:rsidRPr="00012AE1">
        <w:rPr>
          <w:rFonts w:asciiTheme="minorHAnsi" w:hAnsiTheme="minorHAnsi"/>
          <w:sz w:val="22"/>
          <w:szCs w:val="22"/>
        </w:rPr>
        <w:t>s</w:t>
      </w:r>
      <w:r w:rsidRPr="00012AE1">
        <w:rPr>
          <w:rFonts w:asciiTheme="minorHAnsi" w:hAnsiTheme="minorHAnsi"/>
          <w:sz w:val="22"/>
          <w:szCs w:val="22"/>
        </w:rPr>
        <w:t xml:space="preserve"> dated </w:t>
      </w:r>
      <w:r w:rsidR="00347A5A">
        <w:rPr>
          <w:rFonts w:asciiTheme="minorHAnsi" w:hAnsiTheme="minorHAnsi"/>
          <w:sz w:val="22"/>
          <w:szCs w:val="22"/>
        </w:rPr>
        <w:t>1 April 2020</w:t>
      </w:r>
      <w:r w:rsidRPr="00012AE1">
        <w:rPr>
          <w:rFonts w:asciiTheme="minorHAnsi" w:hAnsiTheme="minorHAnsi"/>
          <w:sz w:val="22"/>
          <w:szCs w:val="22"/>
        </w:rPr>
        <w:t>. You can get an electronic copy of the Trust Deed</w:t>
      </w:r>
      <w:r w:rsidR="003208BE" w:rsidRPr="00012AE1">
        <w:rPr>
          <w:rFonts w:asciiTheme="minorHAnsi" w:hAnsiTheme="minorHAnsi"/>
          <w:sz w:val="22"/>
          <w:szCs w:val="22"/>
        </w:rPr>
        <w:t>, the Establishment Deeds</w:t>
      </w:r>
      <w:r w:rsidRPr="00012AE1">
        <w:rPr>
          <w:rFonts w:asciiTheme="minorHAnsi" w:hAnsiTheme="minorHAnsi"/>
          <w:sz w:val="22"/>
          <w:szCs w:val="22"/>
        </w:rPr>
        <w:t xml:space="preserve"> and the SIPO</w:t>
      </w:r>
      <w:r w:rsidR="00D2018C" w:rsidRPr="00012AE1">
        <w:rPr>
          <w:rFonts w:asciiTheme="minorHAnsi" w:hAnsiTheme="minorHAnsi"/>
          <w:sz w:val="22"/>
          <w:szCs w:val="22"/>
        </w:rPr>
        <w:t xml:space="preserve"> from the scheme register </w:t>
      </w:r>
      <w:r w:rsidR="003208BE" w:rsidRPr="00012AE1">
        <w:rPr>
          <w:rFonts w:asciiTheme="minorHAnsi" w:hAnsiTheme="minorHAnsi"/>
          <w:sz w:val="22"/>
          <w:szCs w:val="22"/>
        </w:rPr>
        <w:t>at</w:t>
      </w:r>
      <w:r w:rsidR="00D2018C" w:rsidRPr="00012AE1">
        <w:rPr>
          <w:rFonts w:asciiTheme="minorHAnsi" w:hAnsiTheme="minorHAnsi"/>
          <w:sz w:val="22"/>
          <w:szCs w:val="22"/>
        </w:rPr>
        <w:t xml:space="preserve"> </w:t>
      </w:r>
      <w:hyperlink r:id="rId11" w:history="1">
        <w:r w:rsidR="00976AAE" w:rsidRPr="00BE259D">
          <w:rPr>
            <w:rStyle w:val="Hyperlink"/>
            <w:rFonts w:asciiTheme="minorHAnsi" w:hAnsiTheme="minorHAnsi"/>
            <w:sz w:val="22"/>
            <w:szCs w:val="22"/>
          </w:rPr>
          <w:t>https://disclose-register.companiesoffice.govt.nz</w:t>
        </w:r>
      </w:hyperlink>
      <w:r w:rsidR="00D2018C" w:rsidRPr="00012AE1">
        <w:rPr>
          <w:rFonts w:asciiTheme="minorHAnsi" w:hAnsiTheme="minorHAnsi"/>
          <w:sz w:val="22"/>
          <w:szCs w:val="22"/>
        </w:rPr>
        <w:t>.</w:t>
      </w:r>
      <w:r w:rsidR="00997C8F">
        <w:rPr>
          <w:rFonts w:asciiTheme="minorHAnsi" w:hAnsiTheme="minorHAnsi"/>
          <w:sz w:val="22"/>
          <w:szCs w:val="22"/>
        </w:rPr>
        <w:t xml:space="preserve"> </w:t>
      </w:r>
    </w:p>
    <w:p w:rsidR="00061C07" w:rsidRDefault="00061C07" w:rsidP="00912749">
      <w:pPr>
        <w:overflowPunct/>
        <w:contextualSpacing/>
        <w:textAlignment w:val="auto"/>
      </w:pPr>
    </w:p>
    <w:p w:rsidR="00784025" w:rsidRPr="000C7723" w:rsidRDefault="00B77A13" w:rsidP="00012AE1">
      <w:pPr>
        <w:pStyle w:val="Heading1"/>
      </w:pPr>
      <w:r>
        <w:br w:type="page"/>
      </w:r>
      <w:bookmarkStart w:id="20" w:name="_Toc34647173"/>
      <w:bookmarkStart w:id="21" w:name="_Toc34916723"/>
      <w:r w:rsidR="00A2731D">
        <w:rPr>
          <w:rFonts w:cs="Arial"/>
          <w:b w:val="0"/>
          <w:noProof/>
          <w:sz w:val="22"/>
          <w:szCs w:val="22"/>
        </w:rPr>
        <w:pict w14:anchorId="06B86F01">
          <v:shape id="_x0000_s1043" style="position:absolute;left:0;text-align:left;margin-left:-27.75pt;margin-top:-47.25pt;width:559.5pt;height:804.6pt;rotation:180;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r w:rsidR="00784025">
        <w:t>Persons involved</w:t>
      </w:r>
      <w:bookmarkEnd w:id="20"/>
      <w:bookmarkEnd w:id="21"/>
    </w:p>
    <w:p w:rsidR="00784025" w:rsidRPr="00012AE1" w:rsidRDefault="00D2018C" w:rsidP="00012AE1">
      <w:pPr>
        <w:pStyle w:val="Heading2"/>
      </w:pPr>
      <w:r w:rsidRPr="00012AE1">
        <w:t>The Manager</w:t>
      </w:r>
    </w:p>
    <w:p w:rsidR="00D2018C" w:rsidRPr="00012AE1" w:rsidRDefault="00D2018C" w:rsidP="00012AE1">
      <w:pPr>
        <w:overflowPunct/>
        <w:spacing w:before="180" w:after="120"/>
        <w:contextualSpacing/>
        <w:textAlignment w:val="auto"/>
        <w:rPr>
          <w:rFonts w:asciiTheme="minorHAnsi" w:hAnsiTheme="minorHAnsi"/>
          <w:sz w:val="22"/>
          <w:szCs w:val="22"/>
        </w:rPr>
      </w:pPr>
      <w:r w:rsidRPr="00012AE1">
        <w:rPr>
          <w:rFonts w:asciiTheme="minorHAnsi" w:hAnsiTheme="minorHAnsi"/>
          <w:sz w:val="22"/>
          <w:szCs w:val="22"/>
        </w:rPr>
        <w:t xml:space="preserve">Trust </w:t>
      </w:r>
      <w:r w:rsidR="00B1726F">
        <w:rPr>
          <w:rFonts w:asciiTheme="minorHAnsi" w:hAnsiTheme="minorHAnsi"/>
          <w:sz w:val="22"/>
          <w:szCs w:val="22"/>
        </w:rPr>
        <w:t xml:space="preserve">Investments </w:t>
      </w:r>
      <w:r w:rsidRPr="00012AE1">
        <w:rPr>
          <w:rFonts w:asciiTheme="minorHAnsi" w:hAnsiTheme="minorHAnsi"/>
          <w:sz w:val="22"/>
          <w:szCs w:val="22"/>
        </w:rPr>
        <w:t xml:space="preserve">Management </w:t>
      </w:r>
      <w:r w:rsidR="00B1726F">
        <w:rPr>
          <w:rFonts w:asciiTheme="minorHAnsi" w:hAnsiTheme="minorHAnsi"/>
          <w:sz w:val="22"/>
          <w:szCs w:val="22"/>
        </w:rPr>
        <w:t xml:space="preserve">Limited as </w:t>
      </w:r>
      <w:r w:rsidR="006C1DFD">
        <w:rPr>
          <w:rFonts w:asciiTheme="minorHAnsi" w:hAnsiTheme="minorHAnsi"/>
          <w:sz w:val="22"/>
          <w:szCs w:val="22"/>
        </w:rPr>
        <w:t>c</w:t>
      </w:r>
      <w:r w:rsidR="00B1726F">
        <w:rPr>
          <w:rFonts w:asciiTheme="minorHAnsi" w:hAnsiTheme="minorHAnsi"/>
          <w:sz w:val="22"/>
          <w:szCs w:val="22"/>
        </w:rPr>
        <w:t xml:space="preserve">orporate </w:t>
      </w:r>
      <w:r w:rsidR="006C1DFD">
        <w:rPr>
          <w:rFonts w:asciiTheme="minorHAnsi" w:hAnsiTheme="minorHAnsi"/>
          <w:sz w:val="22"/>
          <w:szCs w:val="22"/>
        </w:rPr>
        <w:t>t</w:t>
      </w:r>
      <w:r w:rsidR="00B1726F">
        <w:rPr>
          <w:rFonts w:asciiTheme="minorHAnsi" w:hAnsiTheme="minorHAnsi"/>
          <w:sz w:val="22"/>
          <w:szCs w:val="22"/>
        </w:rPr>
        <w:t xml:space="preserve">rustee of the Trust Investments Management Charitable Trust </w:t>
      </w:r>
      <w:r w:rsidRPr="00012AE1">
        <w:rPr>
          <w:rFonts w:asciiTheme="minorHAnsi" w:hAnsiTheme="minorHAnsi"/>
          <w:sz w:val="22"/>
          <w:szCs w:val="22"/>
        </w:rPr>
        <w:t>is the manager of the Funds</w:t>
      </w:r>
      <w:r w:rsidR="00997C8F">
        <w:rPr>
          <w:rFonts w:asciiTheme="minorHAnsi" w:hAnsiTheme="minorHAnsi"/>
          <w:sz w:val="22"/>
          <w:szCs w:val="22"/>
        </w:rPr>
        <w:t xml:space="preserve"> (“</w:t>
      </w:r>
      <w:r w:rsidR="00997C8F" w:rsidRPr="00997C8F">
        <w:rPr>
          <w:rFonts w:asciiTheme="minorHAnsi" w:hAnsiTheme="minorHAnsi"/>
          <w:b/>
          <w:sz w:val="22"/>
          <w:szCs w:val="22"/>
        </w:rPr>
        <w:t>Manager</w:t>
      </w:r>
      <w:r w:rsidR="00997C8F">
        <w:rPr>
          <w:rFonts w:asciiTheme="minorHAnsi" w:hAnsiTheme="minorHAnsi"/>
          <w:sz w:val="22"/>
          <w:szCs w:val="22"/>
        </w:rPr>
        <w:t>”)</w:t>
      </w:r>
      <w:r w:rsidRPr="00012AE1">
        <w:rPr>
          <w:rFonts w:asciiTheme="minorHAnsi" w:hAnsiTheme="minorHAnsi"/>
          <w:sz w:val="22"/>
          <w:szCs w:val="22"/>
        </w:rPr>
        <w:t>.</w:t>
      </w:r>
    </w:p>
    <w:p w:rsidR="00F536DB" w:rsidRPr="00012AE1" w:rsidRDefault="00F536DB" w:rsidP="00012AE1">
      <w:pPr>
        <w:pStyle w:val="Heading2"/>
      </w:pPr>
      <w:r w:rsidRPr="00012AE1">
        <w:t xml:space="preserve">Our </w:t>
      </w:r>
      <w:r w:rsidR="004B1543">
        <w:t>d</w:t>
      </w:r>
      <w:r w:rsidRPr="00012AE1">
        <w:t>irectors</w:t>
      </w:r>
    </w:p>
    <w:p w:rsidR="00D2018C" w:rsidRPr="00012AE1" w:rsidRDefault="00104FF8" w:rsidP="00220AED">
      <w:pPr>
        <w:overflowPunct/>
        <w:spacing w:before="180" w:after="120"/>
        <w:textAlignment w:val="auto"/>
        <w:rPr>
          <w:rFonts w:asciiTheme="minorHAnsi" w:hAnsiTheme="minorHAnsi"/>
          <w:sz w:val="22"/>
          <w:szCs w:val="22"/>
        </w:rPr>
      </w:pPr>
      <w:r w:rsidRPr="00012AE1">
        <w:rPr>
          <w:rFonts w:asciiTheme="minorHAnsi" w:hAnsiTheme="minorHAnsi"/>
          <w:sz w:val="22"/>
          <w:szCs w:val="22"/>
        </w:rPr>
        <w:t>O</w:t>
      </w:r>
      <w:r w:rsidR="00D2018C" w:rsidRPr="00012AE1">
        <w:rPr>
          <w:rFonts w:asciiTheme="minorHAnsi" w:hAnsiTheme="minorHAnsi"/>
          <w:sz w:val="22"/>
          <w:szCs w:val="22"/>
        </w:rPr>
        <w:t xml:space="preserve">ur directors </w:t>
      </w:r>
      <w:r w:rsidR="00F536DB" w:rsidRPr="00012AE1">
        <w:rPr>
          <w:rFonts w:asciiTheme="minorHAnsi" w:hAnsiTheme="minorHAnsi"/>
          <w:sz w:val="22"/>
          <w:szCs w:val="22"/>
        </w:rPr>
        <w:t>and their biographies</w:t>
      </w:r>
      <w:r w:rsidRPr="00012AE1">
        <w:rPr>
          <w:rFonts w:asciiTheme="minorHAnsi" w:hAnsiTheme="minorHAnsi"/>
          <w:sz w:val="22"/>
          <w:szCs w:val="22"/>
        </w:rPr>
        <w:t xml:space="preserve">, as at the date of this </w:t>
      </w:r>
      <w:r w:rsidR="00A347AE" w:rsidRPr="00012AE1">
        <w:rPr>
          <w:rFonts w:asciiTheme="minorHAnsi" w:hAnsiTheme="minorHAnsi"/>
          <w:sz w:val="22"/>
          <w:szCs w:val="22"/>
        </w:rPr>
        <w:t>d</w:t>
      </w:r>
      <w:r w:rsidRPr="00012AE1">
        <w:rPr>
          <w:rFonts w:asciiTheme="minorHAnsi" w:hAnsiTheme="minorHAnsi"/>
          <w:sz w:val="22"/>
          <w:szCs w:val="22"/>
        </w:rPr>
        <w:t>ocument, follow.</w:t>
      </w:r>
    </w:p>
    <w:p w:rsidR="00B01D2F" w:rsidRPr="00220AED" w:rsidRDefault="00B01D2F" w:rsidP="00012AE1">
      <w:pPr>
        <w:overflowPunct/>
        <w:spacing w:before="180" w:after="120"/>
        <w:contextualSpacing/>
        <w:textAlignment w:val="auto"/>
        <w:rPr>
          <w:rFonts w:asciiTheme="minorHAnsi" w:hAnsiTheme="minorHAnsi"/>
          <w:b/>
          <w:i/>
          <w:sz w:val="24"/>
          <w:szCs w:val="24"/>
        </w:rPr>
      </w:pPr>
      <w:r w:rsidRPr="00220AED">
        <w:rPr>
          <w:rFonts w:asciiTheme="minorHAnsi" w:hAnsiTheme="minorHAnsi"/>
          <w:b/>
          <w:i/>
          <w:sz w:val="24"/>
          <w:szCs w:val="24"/>
        </w:rPr>
        <w:t>Peter C Brook – BCom, ACA, CFIP, Chairman</w:t>
      </w:r>
    </w:p>
    <w:p w:rsidR="00B01D2F" w:rsidRPr="00012AE1" w:rsidRDefault="00B01D2F" w:rsidP="00220AED">
      <w:pPr>
        <w:pStyle w:val="BodyText"/>
        <w:spacing w:before="180" w:line="240" w:lineRule="auto"/>
        <w:jc w:val="both"/>
        <w:rPr>
          <w:rFonts w:asciiTheme="minorHAnsi" w:hAnsiTheme="minorHAnsi" w:cs="Arial"/>
          <w:color w:val="000000"/>
          <w:sz w:val="22"/>
          <w:szCs w:val="22"/>
        </w:rPr>
      </w:pPr>
      <w:r w:rsidRPr="00012AE1">
        <w:rPr>
          <w:rFonts w:asciiTheme="minorHAnsi" w:hAnsiTheme="minorHAnsi" w:cs="Arial"/>
          <w:color w:val="000000"/>
          <w:sz w:val="22"/>
          <w:szCs w:val="22"/>
        </w:rPr>
        <w:t>Peter Brook has more than 20 years of commercial and investment banking experience and currently pursues a number of consultancy and business interests.</w:t>
      </w:r>
    </w:p>
    <w:p w:rsidR="00B01D2F" w:rsidRPr="00012AE1" w:rsidRDefault="00B01D2F" w:rsidP="00220AED">
      <w:pPr>
        <w:pStyle w:val="BodyText"/>
        <w:spacing w:before="180" w:line="240" w:lineRule="auto"/>
        <w:jc w:val="both"/>
        <w:rPr>
          <w:rFonts w:asciiTheme="minorHAnsi" w:hAnsiTheme="minorHAnsi" w:cs="Arial"/>
          <w:color w:val="000000"/>
          <w:sz w:val="22"/>
          <w:szCs w:val="22"/>
        </w:rPr>
      </w:pPr>
      <w:r w:rsidRPr="00012AE1">
        <w:rPr>
          <w:rFonts w:asciiTheme="minorHAnsi" w:hAnsiTheme="minorHAnsi" w:cs="Arial"/>
          <w:color w:val="000000"/>
          <w:sz w:val="22"/>
          <w:szCs w:val="22"/>
        </w:rPr>
        <w:t xml:space="preserve">Peter is a Director of Argosy Property Limited, Chair of Burgerfuel Worldwide Limited and </w:t>
      </w:r>
      <w:r w:rsidRPr="00012AE1">
        <w:rPr>
          <w:rFonts w:asciiTheme="minorHAnsi" w:hAnsiTheme="minorHAnsi" w:cs="Arial"/>
          <w:sz w:val="22"/>
          <w:szCs w:val="22"/>
        </w:rPr>
        <w:t>Generate Investment Management Limited</w:t>
      </w:r>
      <w:r w:rsidRPr="00012AE1">
        <w:rPr>
          <w:rFonts w:asciiTheme="minorHAnsi" w:hAnsiTheme="minorHAnsi" w:cs="Arial"/>
          <w:color w:val="000000"/>
          <w:sz w:val="22"/>
          <w:szCs w:val="22"/>
        </w:rPr>
        <w:t>, a Trustee of the Melanesian Mission Trust Board and a member of the Institute of Finance Professionals NZ Incorporated</w:t>
      </w:r>
      <w:r w:rsidR="00220AED">
        <w:rPr>
          <w:rFonts w:asciiTheme="minorHAnsi" w:hAnsiTheme="minorHAnsi" w:cs="Arial"/>
          <w:color w:val="000000"/>
          <w:sz w:val="22"/>
          <w:szCs w:val="22"/>
        </w:rPr>
        <w:t>.</w:t>
      </w:r>
    </w:p>
    <w:p w:rsidR="00B01D2F" w:rsidRPr="00220AED" w:rsidRDefault="00B01D2F" w:rsidP="00012AE1">
      <w:pPr>
        <w:overflowPunct/>
        <w:spacing w:before="180" w:after="120"/>
        <w:contextualSpacing/>
        <w:textAlignment w:val="auto"/>
        <w:rPr>
          <w:rFonts w:asciiTheme="minorHAnsi" w:hAnsiTheme="minorHAnsi"/>
          <w:b/>
          <w:i/>
          <w:sz w:val="24"/>
          <w:szCs w:val="24"/>
        </w:rPr>
      </w:pPr>
      <w:r w:rsidRPr="00220AED">
        <w:rPr>
          <w:rFonts w:asciiTheme="minorHAnsi" w:hAnsiTheme="minorHAnsi"/>
          <w:b/>
          <w:i/>
          <w:sz w:val="24"/>
          <w:szCs w:val="24"/>
        </w:rPr>
        <w:t>Christine A Scott – BA (Hons), CMInstD, CHFC</w:t>
      </w:r>
    </w:p>
    <w:p w:rsidR="004B1543" w:rsidRPr="004B1543" w:rsidRDefault="004B1543" w:rsidP="004B1543">
      <w:pPr>
        <w:spacing w:before="180" w:after="120"/>
        <w:rPr>
          <w:rFonts w:asciiTheme="minorHAnsi" w:hAnsiTheme="minorHAnsi"/>
          <w:sz w:val="22"/>
          <w:szCs w:val="22"/>
        </w:rPr>
      </w:pPr>
      <w:r w:rsidRPr="004B1543">
        <w:rPr>
          <w:rFonts w:asciiTheme="minorHAnsi" w:hAnsiTheme="minorHAnsi"/>
          <w:sz w:val="22"/>
          <w:szCs w:val="22"/>
        </w:rPr>
        <w:t>Christine Scott is Managing Director of Strategy Inc. Limited. Formerly Managing Director in New Zealand with Royal &amp; SunAlliance (now the SunCorp Metway group of companies), she now consults with mid-large corporations in the areas of strategy, marketing, governance and performance measurement.</w:t>
      </w:r>
    </w:p>
    <w:p w:rsidR="004B1543" w:rsidRPr="004B1543" w:rsidRDefault="004B1543" w:rsidP="004B1543">
      <w:pPr>
        <w:spacing w:before="180" w:after="120"/>
        <w:rPr>
          <w:rFonts w:asciiTheme="minorHAnsi" w:hAnsiTheme="minorHAnsi"/>
          <w:sz w:val="22"/>
          <w:szCs w:val="22"/>
        </w:rPr>
      </w:pPr>
      <w:r w:rsidRPr="004B1543">
        <w:rPr>
          <w:rFonts w:asciiTheme="minorHAnsi" w:hAnsiTheme="minorHAnsi"/>
          <w:sz w:val="22"/>
          <w:szCs w:val="22"/>
        </w:rPr>
        <w:t>Christine has held directorships in numerous financial service companies in New Zealand and Canada, and is a trustee for a number of not-for-profit organisations including the J R McKenzie Trust and the Auckland Rotary Foundation. She is a past director of UNICEF NZ and the ISI (now the Financial Services Council).</w:t>
      </w:r>
    </w:p>
    <w:p w:rsidR="008C1AED" w:rsidRPr="004B1543" w:rsidRDefault="004B1543" w:rsidP="004B1543">
      <w:pPr>
        <w:spacing w:before="180" w:after="120"/>
        <w:rPr>
          <w:rFonts w:asciiTheme="minorHAnsi" w:hAnsiTheme="minorHAnsi"/>
          <w:sz w:val="22"/>
          <w:szCs w:val="22"/>
        </w:rPr>
      </w:pPr>
      <w:r w:rsidRPr="004B1543">
        <w:rPr>
          <w:rFonts w:asciiTheme="minorHAnsi" w:hAnsiTheme="minorHAnsi"/>
          <w:sz w:val="22"/>
          <w:szCs w:val="22"/>
        </w:rPr>
        <w:t>Christine was awarded CHFC, CFP, CLU and FLMI financial sector designations in Canada.</w:t>
      </w:r>
      <w:r w:rsidR="00D37545" w:rsidRPr="00D37545">
        <w:t xml:space="preserve"> </w:t>
      </w:r>
      <w:r w:rsidR="00D37545" w:rsidRPr="00D37545">
        <w:rPr>
          <w:rFonts w:asciiTheme="minorHAnsi" w:hAnsiTheme="minorHAnsi"/>
          <w:sz w:val="22"/>
          <w:szCs w:val="22"/>
        </w:rPr>
        <w:t>Christine also successfully completed the Officers, Partners &amp; Directors program of the Investment Funds Institute of Canada.</w:t>
      </w:r>
    </w:p>
    <w:p w:rsidR="00B01D2F" w:rsidRPr="00220AED" w:rsidRDefault="00B01D2F" w:rsidP="00012AE1">
      <w:pPr>
        <w:overflowPunct/>
        <w:spacing w:before="180" w:after="120"/>
        <w:contextualSpacing/>
        <w:textAlignment w:val="auto"/>
        <w:rPr>
          <w:rFonts w:asciiTheme="minorHAnsi" w:hAnsiTheme="minorHAnsi"/>
          <w:b/>
          <w:i/>
          <w:sz w:val="24"/>
          <w:szCs w:val="24"/>
        </w:rPr>
      </w:pPr>
      <w:r w:rsidRPr="00220AED">
        <w:rPr>
          <w:rFonts w:asciiTheme="minorHAnsi" w:hAnsiTheme="minorHAnsi"/>
          <w:b/>
          <w:i/>
          <w:sz w:val="24"/>
          <w:szCs w:val="24"/>
        </w:rPr>
        <w:t>Ross G Bay – BTh, PGDip PastTheol</w:t>
      </w:r>
    </w:p>
    <w:p w:rsidR="00B01D2F" w:rsidRPr="00012AE1" w:rsidRDefault="00B01D2F" w:rsidP="00220AED">
      <w:pPr>
        <w:overflowPunct/>
        <w:spacing w:before="180" w:after="120"/>
        <w:textAlignment w:val="auto"/>
        <w:rPr>
          <w:rFonts w:asciiTheme="minorHAnsi" w:hAnsiTheme="minorHAnsi"/>
          <w:sz w:val="22"/>
          <w:szCs w:val="22"/>
        </w:rPr>
      </w:pPr>
      <w:r w:rsidRPr="00012AE1">
        <w:rPr>
          <w:rFonts w:asciiTheme="minorHAnsi" w:hAnsiTheme="minorHAnsi"/>
          <w:sz w:val="22"/>
          <w:szCs w:val="22"/>
        </w:rPr>
        <w:t>Ross Bay is the Anglican Bishop of Auckland.</w:t>
      </w:r>
    </w:p>
    <w:p w:rsidR="00012AE1" w:rsidRDefault="00B01D2F" w:rsidP="00220AED">
      <w:pPr>
        <w:overflowPunct/>
        <w:spacing w:before="180" w:after="120"/>
        <w:textAlignment w:val="auto"/>
        <w:rPr>
          <w:rFonts w:asciiTheme="minorHAnsi" w:hAnsiTheme="minorHAnsi"/>
          <w:sz w:val="22"/>
          <w:szCs w:val="22"/>
        </w:rPr>
      </w:pPr>
      <w:r w:rsidRPr="00012AE1">
        <w:rPr>
          <w:rFonts w:asciiTheme="minorHAnsi" w:hAnsiTheme="minorHAnsi"/>
          <w:sz w:val="22"/>
          <w:szCs w:val="22"/>
        </w:rPr>
        <w:t xml:space="preserve">Ross worked for the Bank of New Zealand until beginning theological study in 1986, graduating with a Bachelor of Theology from the Australian </w:t>
      </w:r>
      <w:r w:rsidR="00012AE1">
        <w:rPr>
          <w:rFonts w:asciiTheme="minorHAnsi" w:hAnsiTheme="minorHAnsi"/>
          <w:sz w:val="22"/>
          <w:szCs w:val="22"/>
        </w:rPr>
        <w:t>College of Theology in 1990</w:t>
      </w:r>
    </w:p>
    <w:p w:rsidR="00B01D2F" w:rsidRPr="00012AE1" w:rsidRDefault="00B01D2F" w:rsidP="00220AED">
      <w:pPr>
        <w:overflowPunct/>
        <w:spacing w:before="180" w:after="120"/>
        <w:textAlignment w:val="auto"/>
        <w:rPr>
          <w:rFonts w:asciiTheme="minorHAnsi" w:hAnsiTheme="minorHAnsi"/>
          <w:sz w:val="22"/>
          <w:szCs w:val="22"/>
        </w:rPr>
      </w:pPr>
      <w:r w:rsidRPr="00012AE1">
        <w:rPr>
          <w:rFonts w:asciiTheme="minorHAnsi" w:hAnsiTheme="minorHAnsi"/>
          <w:sz w:val="22"/>
          <w:szCs w:val="22"/>
        </w:rPr>
        <w:t>After a period in the United Kingdom where he gained a post-graduate diploma in theology, Ross returned to New Zealand working as the Vicar of a number of parishes in Auckland. He was appointed Dean of Holy Trinity Cathedral in 2007, and became Bishop of Auckland in April 2010.</w:t>
      </w:r>
    </w:p>
    <w:p w:rsidR="00012AE1" w:rsidRPr="00220AED" w:rsidRDefault="00B01D2F" w:rsidP="00220AED">
      <w:pPr>
        <w:overflowPunct/>
        <w:spacing w:before="180" w:after="120"/>
        <w:textAlignment w:val="auto"/>
        <w:rPr>
          <w:rFonts w:asciiTheme="minorHAnsi" w:hAnsiTheme="minorHAnsi"/>
          <w:sz w:val="22"/>
          <w:szCs w:val="22"/>
        </w:rPr>
      </w:pPr>
      <w:r w:rsidRPr="00012AE1">
        <w:rPr>
          <w:rFonts w:asciiTheme="minorHAnsi" w:hAnsiTheme="minorHAnsi"/>
          <w:sz w:val="22"/>
          <w:szCs w:val="22"/>
        </w:rPr>
        <w:t>Ross sits on a number of governance boards associated with the Auckland Anglican Diocese and wider Church. His governance roles include Chairman of the Diocesan Council, Chairman of Trustees of King’s College, Trustee of the General Trust Board, and President of the Selwyn Foundation.</w:t>
      </w:r>
    </w:p>
    <w:p w:rsidR="00B01D2F" w:rsidRPr="00220AED" w:rsidRDefault="00B01D2F" w:rsidP="00150B0E">
      <w:pPr>
        <w:pStyle w:val="BodyText"/>
        <w:spacing w:before="0" w:line="240" w:lineRule="auto"/>
        <w:jc w:val="both"/>
        <w:rPr>
          <w:rFonts w:asciiTheme="minorHAnsi" w:hAnsiTheme="minorHAnsi" w:cs="Arial"/>
          <w:b/>
          <w:i/>
          <w:color w:val="000000"/>
          <w:sz w:val="24"/>
          <w:szCs w:val="24"/>
        </w:rPr>
      </w:pPr>
      <w:r w:rsidRPr="00220AED">
        <w:rPr>
          <w:rFonts w:asciiTheme="minorHAnsi" w:hAnsiTheme="minorHAnsi" w:cs="Arial"/>
          <w:b/>
          <w:i/>
          <w:color w:val="000000"/>
          <w:sz w:val="24"/>
          <w:szCs w:val="24"/>
        </w:rPr>
        <w:t>Andrew H Evans</w:t>
      </w:r>
      <w:r w:rsidR="00821D0C" w:rsidRPr="00220AED">
        <w:rPr>
          <w:rFonts w:asciiTheme="minorHAnsi" w:hAnsiTheme="minorHAnsi" w:cs="Arial"/>
          <w:b/>
          <w:i/>
          <w:color w:val="000000"/>
          <w:sz w:val="24"/>
          <w:szCs w:val="24"/>
        </w:rPr>
        <w:t xml:space="preserve"> – </w:t>
      </w:r>
      <w:r w:rsidRPr="00220AED">
        <w:rPr>
          <w:rFonts w:asciiTheme="minorHAnsi" w:hAnsiTheme="minorHAnsi" w:cs="Arial"/>
          <w:b/>
          <w:i/>
          <w:color w:val="000000"/>
          <w:sz w:val="24"/>
          <w:szCs w:val="24"/>
        </w:rPr>
        <w:t xml:space="preserve">BBS, GDipBus(Finan), MBA (Dist), ANZIV, FPINZ, </w:t>
      </w:r>
      <w:r w:rsidR="003E482C" w:rsidRPr="00220AED">
        <w:rPr>
          <w:rFonts w:asciiTheme="minorHAnsi" w:hAnsiTheme="minorHAnsi" w:cs="Arial"/>
          <w:b/>
          <w:i/>
          <w:color w:val="000000"/>
          <w:sz w:val="24"/>
          <w:szCs w:val="24"/>
        </w:rPr>
        <w:t>CFinstD</w:t>
      </w:r>
    </w:p>
    <w:p w:rsidR="009B4137" w:rsidRPr="00006876" w:rsidRDefault="009B4137" w:rsidP="009B4137">
      <w:pPr>
        <w:rPr>
          <w:rFonts w:asciiTheme="minorHAnsi" w:hAnsiTheme="minorHAnsi"/>
          <w:sz w:val="22"/>
          <w:szCs w:val="22"/>
        </w:rPr>
      </w:pPr>
      <w:r w:rsidRPr="00006876">
        <w:rPr>
          <w:rFonts w:asciiTheme="minorHAnsi" w:hAnsiTheme="minorHAnsi"/>
          <w:sz w:val="22"/>
          <w:szCs w:val="22"/>
        </w:rPr>
        <w:t xml:space="preserve">Andrew Evans has over 30 years’ experience in commercial real estate and asset management, previously holding executive positions in listed and unlisted real estate investment businesses. </w:t>
      </w:r>
    </w:p>
    <w:p w:rsidR="009B4137" w:rsidRPr="00006876" w:rsidRDefault="009B4137" w:rsidP="009B4137">
      <w:pPr>
        <w:pStyle w:val="PlainText"/>
        <w:jc w:val="both"/>
        <w:rPr>
          <w:rFonts w:asciiTheme="minorHAnsi" w:eastAsia="Times New Roman" w:hAnsiTheme="minorHAnsi" w:cs="Times New Roman"/>
          <w:szCs w:val="22"/>
          <w:lang w:eastAsia="en-NZ"/>
        </w:rPr>
      </w:pPr>
      <w:r w:rsidRPr="00006876">
        <w:rPr>
          <w:rFonts w:asciiTheme="minorHAnsi" w:eastAsia="Times New Roman" w:hAnsiTheme="minorHAnsi" w:cs="Times New Roman"/>
          <w:szCs w:val="22"/>
          <w:lang w:eastAsia="en-NZ"/>
        </w:rPr>
        <w:t xml:space="preserve">Andrew is a Director of Vital Healthcare </w:t>
      </w:r>
      <w:r w:rsidR="00871353">
        <w:rPr>
          <w:rFonts w:asciiTheme="minorHAnsi" w:eastAsia="Times New Roman" w:hAnsiTheme="minorHAnsi" w:cs="Times New Roman"/>
          <w:szCs w:val="22"/>
          <w:lang w:eastAsia="en-NZ"/>
        </w:rPr>
        <w:t>Property</w:t>
      </w:r>
      <w:r w:rsidR="00871353" w:rsidRPr="00006876">
        <w:rPr>
          <w:rFonts w:asciiTheme="minorHAnsi" w:eastAsia="Times New Roman" w:hAnsiTheme="minorHAnsi" w:cs="Times New Roman"/>
          <w:szCs w:val="22"/>
          <w:lang w:eastAsia="en-NZ"/>
        </w:rPr>
        <w:t xml:space="preserve"> </w:t>
      </w:r>
      <w:r w:rsidRPr="00006876">
        <w:rPr>
          <w:rFonts w:asciiTheme="minorHAnsi" w:eastAsia="Times New Roman" w:hAnsiTheme="minorHAnsi" w:cs="Times New Roman"/>
          <w:szCs w:val="22"/>
          <w:lang w:eastAsia="en-NZ"/>
        </w:rPr>
        <w:t>Limited, Holmes Group Limited, Holmes GP Fire Limited, and</w:t>
      </w:r>
      <w:r w:rsidR="00C6697F">
        <w:rPr>
          <w:rFonts w:asciiTheme="minorHAnsi" w:eastAsia="Times New Roman" w:hAnsiTheme="minorHAnsi" w:cs="Times New Roman"/>
          <w:szCs w:val="22"/>
          <w:lang w:eastAsia="en-NZ"/>
        </w:rPr>
        <w:t xml:space="preserve"> Infinity Investment Group Limited</w:t>
      </w:r>
      <w:r w:rsidRPr="00006876">
        <w:rPr>
          <w:rFonts w:asciiTheme="minorHAnsi" w:eastAsia="Times New Roman" w:hAnsiTheme="minorHAnsi" w:cs="Times New Roman"/>
          <w:szCs w:val="22"/>
          <w:lang w:eastAsia="en-NZ"/>
        </w:rPr>
        <w:t>. In addition, Andrew is a past National President of the Property Council of New Zealand, a fellow of the New Zealand Property Institute, a government appointee to the Land Valuation Tribunal (Waikato No.1) and is a Trustee of the Marist Rugby Charitable Trust. He is a chartered fellow of the Institute of Directors and is on the Auckland Branch Committee.</w:t>
      </w:r>
    </w:p>
    <w:p w:rsidR="00227E85" w:rsidRPr="00006876" w:rsidRDefault="00227E85" w:rsidP="00E0132C">
      <w:pPr>
        <w:pStyle w:val="BodyText"/>
        <w:spacing w:before="0" w:line="240" w:lineRule="auto"/>
        <w:jc w:val="both"/>
        <w:rPr>
          <w:rFonts w:ascii="Arial" w:eastAsiaTheme="minorHAnsi" w:hAnsi="Arial" w:cs="Arial"/>
          <w:bCs w:val="0"/>
          <w:kern w:val="0"/>
          <w:sz w:val="21"/>
          <w:szCs w:val="21"/>
        </w:rPr>
      </w:pPr>
    </w:p>
    <w:p w:rsidR="00C868A5" w:rsidRPr="00C868A5" w:rsidRDefault="00A2731D" w:rsidP="00C868A5">
      <w:pPr>
        <w:pStyle w:val="BodyText"/>
        <w:spacing w:before="0" w:line="240" w:lineRule="auto"/>
        <w:jc w:val="both"/>
        <w:rPr>
          <w:rFonts w:asciiTheme="minorHAnsi" w:hAnsiTheme="minorHAnsi" w:cs="Arial"/>
          <w:b/>
          <w:bCs w:val="0"/>
          <w:i/>
          <w:color w:val="000000"/>
          <w:sz w:val="24"/>
          <w:szCs w:val="24"/>
        </w:rPr>
      </w:pPr>
      <w:r>
        <w:rPr>
          <w:rFonts w:cs="Arial"/>
          <w:noProof/>
          <w:sz w:val="22"/>
          <w:szCs w:val="22"/>
          <w:lang w:eastAsia="en-NZ"/>
        </w:rPr>
        <w:pict w14:anchorId="188DE8C1">
          <v:shape id="_x0000_s1042" style="position:absolute;left:0;text-align:left;margin-left:-26.55pt;margin-top:-46.6pt;width:559.5pt;height:804.6pt;rotation:180;flip:x;z-index:2516520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r w:rsidR="00C868A5" w:rsidRPr="00C868A5">
        <w:rPr>
          <w:rFonts w:asciiTheme="minorHAnsi" w:hAnsiTheme="minorHAnsi" w:cs="Arial"/>
          <w:b/>
          <w:bCs w:val="0"/>
          <w:i/>
          <w:color w:val="000000"/>
          <w:sz w:val="24"/>
          <w:szCs w:val="24"/>
        </w:rPr>
        <w:t>Annabel Cotton–BMS, ACA, CFInstD, INFINZ (Fellow), FNZICA, FAIRA</w:t>
      </w:r>
    </w:p>
    <w:p w:rsidR="00AD143B" w:rsidRPr="00AD143B" w:rsidRDefault="00AD143B" w:rsidP="00AD143B">
      <w:pPr>
        <w:rPr>
          <w:rFonts w:asciiTheme="minorHAnsi" w:hAnsiTheme="minorHAnsi"/>
          <w:sz w:val="22"/>
          <w:szCs w:val="22"/>
        </w:rPr>
      </w:pPr>
      <w:r w:rsidRPr="00AD143B">
        <w:rPr>
          <w:rFonts w:asciiTheme="minorHAnsi" w:hAnsiTheme="minorHAnsi"/>
          <w:sz w:val="22"/>
          <w:szCs w:val="22"/>
        </w:rPr>
        <w:t>Annabel is the Managing Director of Merlin Consulting and is a professional director with experience in advising NZX listed companies on investor relations, governance and equity management.</w:t>
      </w:r>
    </w:p>
    <w:p w:rsidR="00AD143B" w:rsidRPr="00AD143B" w:rsidRDefault="00AD143B" w:rsidP="00AD143B">
      <w:pPr>
        <w:rPr>
          <w:rFonts w:asciiTheme="minorHAnsi" w:hAnsiTheme="minorHAnsi"/>
          <w:sz w:val="22"/>
          <w:szCs w:val="22"/>
        </w:rPr>
      </w:pPr>
      <w:r w:rsidRPr="00AD143B">
        <w:rPr>
          <w:rFonts w:asciiTheme="minorHAnsi" w:hAnsiTheme="minorHAnsi"/>
          <w:sz w:val="22"/>
          <w:szCs w:val="22"/>
        </w:rPr>
        <w:t>Annabel is a director and audit committee chair of Waikato Regional Airport Limited and chairs Hamilton &amp; Waikato Tourism Limited. Annabel is also a trustee, member of the audit and risk and membership committees of New Zealand Global Women and a trustee of the Donny Charitable Trust Board, a substantial charity.</w:t>
      </w:r>
    </w:p>
    <w:p w:rsidR="00AD143B" w:rsidRPr="00AD143B" w:rsidRDefault="00AD143B" w:rsidP="00AD143B">
      <w:pPr>
        <w:rPr>
          <w:rFonts w:asciiTheme="minorHAnsi" w:hAnsiTheme="minorHAnsi"/>
          <w:sz w:val="22"/>
          <w:szCs w:val="22"/>
        </w:rPr>
      </w:pPr>
      <w:r w:rsidRPr="00AD143B">
        <w:rPr>
          <w:rFonts w:asciiTheme="minorHAnsi" w:hAnsiTheme="minorHAnsi"/>
          <w:sz w:val="22"/>
          <w:szCs w:val="22"/>
        </w:rPr>
        <w:t>Annabel has been a director and audit committee chair of several NZSX‐listed companies and was a member of the New Zealand Securities Commission and the External Reporting Board, was the first Commissioner for Financial Advisers and was a director and audit committee member of Genesis Power Limited.</w:t>
      </w:r>
    </w:p>
    <w:p w:rsidR="008C1AED" w:rsidRDefault="00AD143B" w:rsidP="00C868A5">
      <w:pPr>
        <w:rPr>
          <w:rFonts w:asciiTheme="minorHAnsi" w:hAnsiTheme="minorHAnsi"/>
          <w:sz w:val="22"/>
          <w:szCs w:val="22"/>
        </w:rPr>
      </w:pPr>
      <w:r w:rsidRPr="00AD143B">
        <w:rPr>
          <w:rFonts w:asciiTheme="minorHAnsi" w:hAnsiTheme="minorHAnsi"/>
          <w:sz w:val="22"/>
          <w:szCs w:val="22"/>
        </w:rPr>
        <w:t xml:space="preserve">Annabel has been made a Fellow of the Australasian Investor Relations Association, the Institute of Directors, the Institute of </w:t>
      </w:r>
      <w:r>
        <w:rPr>
          <w:rFonts w:asciiTheme="minorHAnsi" w:hAnsiTheme="minorHAnsi"/>
          <w:sz w:val="22"/>
          <w:szCs w:val="22"/>
        </w:rPr>
        <w:t>Finance Professionals and NZICA</w:t>
      </w:r>
      <w:r w:rsidRPr="00AD143B">
        <w:rPr>
          <w:rFonts w:asciiTheme="minorHAnsi" w:hAnsiTheme="minorHAnsi"/>
          <w:sz w:val="22"/>
          <w:szCs w:val="22"/>
        </w:rPr>
        <w:t>.</w:t>
      </w:r>
    </w:p>
    <w:p w:rsidR="00D806E0" w:rsidRDefault="00D806E0" w:rsidP="00C868A5">
      <w:pPr>
        <w:rPr>
          <w:rFonts w:asciiTheme="minorHAnsi" w:hAnsiTheme="minorHAnsi" w:cs="Arial"/>
          <w:b/>
          <w:i/>
          <w:color w:val="000000"/>
          <w:sz w:val="24"/>
          <w:szCs w:val="24"/>
        </w:rPr>
      </w:pPr>
      <w:r>
        <w:rPr>
          <w:rFonts w:asciiTheme="minorHAnsi" w:hAnsiTheme="minorHAnsi" w:cs="Arial"/>
          <w:b/>
          <w:i/>
          <w:color w:val="000000"/>
          <w:sz w:val="24"/>
          <w:szCs w:val="24"/>
        </w:rPr>
        <w:t xml:space="preserve">Mel Hewitson </w:t>
      </w:r>
      <w:r w:rsidRPr="00C868A5">
        <w:rPr>
          <w:rFonts w:asciiTheme="minorHAnsi" w:hAnsiTheme="minorHAnsi" w:cs="Arial"/>
          <w:b/>
          <w:i/>
          <w:color w:val="000000"/>
          <w:sz w:val="24"/>
          <w:szCs w:val="24"/>
        </w:rPr>
        <w:t>–</w:t>
      </w:r>
      <w:r>
        <w:rPr>
          <w:rFonts w:asciiTheme="minorHAnsi" w:hAnsiTheme="minorHAnsi" w:cs="Arial"/>
          <w:b/>
          <w:i/>
          <w:color w:val="000000"/>
          <w:sz w:val="24"/>
          <w:szCs w:val="24"/>
        </w:rPr>
        <w:t xml:space="preserve"> MA, BSocSci, CMinstD, </w:t>
      </w:r>
      <w:r w:rsidR="007A56FE" w:rsidRPr="007A56FE">
        <w:rPr>
          <w:rFonts w:asciiTheme="minorHAnsi" w:hAnsiTheme="minorHAnsi" w:cs="Arial"/>
          <w:b/>
          <w:i/>
          <w:color w:val="000000"/>
          <w:sz w:val="24"/>
          <w:szCs w:val="24"/>
        </w:rPr>
        <w:t>AIF®</w:t>
      </w:r>
    </w:p>
    <w:p w:rsidR="00D806E0" w:rsidRPr="00D806E0" w:rsidRDefault="00D806E0" w:rsidP="00D806E0">
      <w:pPr>
        <w:rPr>
          <w:rFonts w:asciiTheme="minorHAnsi" w:hAnsiTheme="minorHAnsi"/>
          <w:sz w:val="22"/>
          <w:szCs w:val="22"/>
        </w:rPr>
      </w:pPr>
      <w:r w:rsidRPr="00D806E0">
        <w:rPr>
          <w:rFonts w:asciiTheme="minorHAnsi" w:hAnsiTheme="minorHAnsi"/>
          <w:sz w:val="22"/>
          <w:szCs w:val="22"/>
        </w:rPr>
        <w:t xml:space="preserve">Mel is a professional director, following an executive career in institutional investment management, risk, compliance and financial regulation.  </w:t>
      </w:r>
    </w:p>
    <w:p w:rsidR="00D806E0" w:rsidRPr="00D806E0" w:rsidRDefault="00D806E0" w:rsidP="00D806E0">
      <w:pPr>
        <w:rPr>
          <w:rFonts w:asciiTheme="minorHAnsi" w:hAnsiTheme="minorHAnsi"/>
          <w:sz w:val="22"/>
          <w:szCs w:val="22"/>
        </w:rPr>
      </w:pPr>
      <w:r w:rsidRPr="00D806E0">
        <w:rPr>
          <w:rFonts w:asciiTheme="minorHAnsi" w:hAnsiTheme="minorHAnsi"/>
          <w:sz w:val="22"/>
          <w:szCs w:val="22"/>
        </w:rPr>
        <w:t xml:space="preserve">Mel is a director of Simplicity NZ Limited, </w:t>
      </w:r>
      <w:r w:rsidR="00416FB7">
        <w:rPr>
          <w:rFonts w:asciiTheme="minorHAnsi" w:hAnsiTheme="minorHAnsi"/>
          <w:sz w:val="22"/>
          <w:szCs w:val="22"/>
        </w:rPr>
        <w:t xml:space="preserve">Sargon NZ Limited, </w:t>
      </w:r>
      <w:r w:rsidRPr="00D806E0">
        <w:rPr>
          <w:rFonts w:asciiTheme="minorHAnsi" w:hAnsiTheme="minorHAnsi"/>
          <w:sz w:val="22"/>
          <w:szCs w:val="22"/>
        </w:rPr>
        <w:t>Ngāti Whātua Ōrākei Whai Maia Limited</w:t>
      </w:r>
      <w:r w:rsidR="00416FB7">
        <w:rPr>
          <w:rFonts w:asciiTheme="minorHAnsi" w:hAnsiTheme="minorHAnsi"/>
          <w:sz w:val="22"/>
          <w:szCs w:val="22"/>
        </w:rPr>
        <w:t xml:space="preserve"> and Domain Name Commission </w:t>
      </w:r>
      <w:r w:rsidR="006273C5">
        <w:rPr>
          <w:rFonts w:asciiTheme="minorHAnsi" w:hAnsiTheme="minorHAnsi"/>
          <w:sz w:val="22"/>
          <w:szCs w:val="22"/>
        </w:rPr>
        <w:t>L</w:t>
      </w:r>
      <w:r w:rsidR="00416FB7">
        <w:rPr>
          <w:rFonts w:asciiTheme="minorHAnsi" w:hAnsiTheme="minorHAnsi"/>
          <w:sz w:val="22"/>
          <w:szCs w:val="22"/>
        </w:rPr>
        <w:t>imited</w:t>
      </w:r>
      <w:r w:rsidRPr="00D806E0">
        <w:rPr>
          <w:rFonts w:asciiTheme="minorHAnsi" w:hAnsiTheme="minorHAnsi"/>
          <w:sz w:val="22"/>
          <w:szCs w:val="22"/>
        </w:rPr>
        <w:t>. She is Deputy Chair of Foundation North, Chair of Centre for Social Impact and chairs the Nominating Committees for the Guardians of New Zealand Super Fund and the Waikato-Tainui Group Investment Committee. She is an independent member of the FINDEX Advice Services NZ Investment Committee and a trustee of Auckland Foundation.</w:t>
      </w:r>
    </w:p>
    <w:p w:rsidR="00D806E0" w:rsidRPr="00D806E0" w:rsidRDefault="00D806E0" w:rsidP="00D806E0">
      <w:pPr>
        <w:rPr>
          <w:rFonts w:asciiTheme="minorHAnsi" w:hAnsiTheme="minorHAnsi"/>
          <w:sz w:val="22"/>
          <w:szCs w:val="22"/>
        </w:rPr>
      </w:pPr>
      <w:r w:rsidRPr="00D806E0">
        <w:rPr>
          <w:rFonts w:asciiTheme="minorHAnsi" w:hAnsiTheme="minorHAnsi"/>
          <w:sz w:val="22"/>
          <w:szCs w:val="22"/>
        </w:rPr>
        <w:t>Previously, Mel held senior roles at the Financial Markets Authority, Trustees Executors, ANZ Bank, AllianceBernstein and Tower Asset Management.</w:t>
      </w:r>
    </w:p>
    <w:p w:rsidR="00D806E0" w:rsidRPr="005518B3" w:rsidRDefault="00D806E0" w:rsidP="00D806E0">
      <w:pPr>
        <w:rPr>
          <w:rFonts w:asciiTheme="minorHAnsi" w:hAnsiTheme="minorHAnsi"/>
          <w:sz w:val="22"/>
          <w:szCs w:val="22"/>
        </w:rPr>
      </w:pPr>
      <w:r w:rsidRPr="00D806E0">
        <w:rPr>
          <w:rFonts w:asciiTheme="minorHAnsi" w:hAnsiTheme="minorHAnsi"/>
          <w:sz w:val="22"/>
          <w:szCs w:val="22"/>
        </w:rPr>
        <w:t>Mel is a Chartered Member of the Institute of Directors and an Accredited Investment Fiduciary®.</w:t>
      </w:r>
    </w:p>
    <w:p w:rsidR="00B01D2F" w:rsidRPr="00220AED" w:rsidRDefault="00B01D2F" w:rsidP="00B01D2F">
      <w:pPr>
        <w:pStyle w:val="BodyText"/>
        <w:spacing w:before="0" w:after="0"/>
        <w:jc w:val="both"/>
        <w:rPr>
          <w:rFonts w:asciiTheme="minorHAnsi" w:hAnsiTheme="minorHAnsi" w:cs="Arial"/>
          <w:sz w:val="22"/>
          <w:szCs w:val="22"/>
        </w:rPr>
      </w:pPr>
      <w:r w:rsidRPr="00220AED">
        <w:rPr>
          <w:rFonts w:asciiTheme="minorHAnsi" w:hAnsiTheme="minorHAnsi" w:cs="Arial"/>
          <w:color w:val="000000"/>
          <w:sz w:val="22"/>
          <w:szCs w:val="22"/>
        </w:rPr>
        <w:t>Our direct</w:t>
      </w:r>
      <w:r w:rsidR="006D28A8" w:rsidRPr="00220AED">
        <w:rPr>
          <w:rFonts w:asciiTheme="minorHAnsi" w:hAnsiTheme="minorHAnsi" w:cs="Arial"/>
          <w:color w:val="000000"/>
          <w:sz w:val="22"/>
          <w:szCs w:val="22"/>
        </w:rPr>
        <w:t>o</w:t>
      </w:r>
      <w:r w:rsidRPr="00220AED">
        <w:rPr>
          <w:rFonts w:asciiTheme="minorHAnsi" w:hAnsiTheme="minorHAnsi" w:cs="Arial"/>
          <w:color w:val="000000"/>
          <w:sz w:val="22"/>
          <w:szCs w:val="22"/>
        </w:rPr>
        <w:t>rs may change from time to time without notice to you. A current list of directors is available online at</w:t>
      </w:r>
      <w:r w:rsidR="00976AAE">
        <w:rPr>
          <w:rStyle w:val="Hyperlink"/>
          <w:rFonts w:asciiTheme="minorHAnsi" w:hAnsiTheme="minorHAnsi" w:cs="Arial"/>
          <w:sz w:val="22"/>
          <w:szCs w:val="22"/>
        </w:rPr>
        <w:t xml:space="preserve"> </w:t>
      </w:r>
      <w:hyperlink r:id="rId12" w:history="1">
        <w:r w:rsidR="00976AAE" w:rsidRPr="00304AE8">
          <w:rPr>
            <w:rStyle w:val="Hyperlink"/>
            <w:rFonts w:asciiTheme="minorHAnsi" w:hAnsiTheme="minorHAnsi" w:cs="Arial"/>
            <w:sz w:val="22"/>
            <w:szCs w:val="22"/>
          </w:rPr>
          <w:t>https://companies-register.companiesoffice.govt.nz</w:t>
        </w:r>
      </w:hyperlink>
      <w:r w:rsidRPr="00220AED">
        <w:rPr>
          <w:rFonts w:asciiTheme="minorHAnsi" w:hAnsiTheme="minorHAnsi" w:cs="Arial"/>
          <w:color w:val="000000"/>
          <w:sz w:val="22"/>
          <w:szCs w:val="22"/>
        </w:rPr>
        <w:t>.</w:t>
      </w:r>
    </w:p>
    <w:p w:rsidR="00D2018C" w:rsidRPr="00220AED" w:rsidRDefault="00F536DB" w:rsidP="00220AED">
      <w:pPr>
        <w:pStyle w:val="Heading2"/>
      </w:pPr>
      <w:r w:rsidRPr="00220AED">
        <w:t>Our management team</w:t>
      </w:r>
    </w:p>
    <w:p w:rsidR="00F536DB" w:rsidRDefault="00F536DB" w:rsidP="00B01D2F">
      <w:pPr>
        <w:overflowPunct/>
        <w:spacing w:after="0"/>
        <w:contextualSpacing/>
        <w:textAlignment w:val="auto"/>
        <w:rPr>
          <w:i/>
        </w:rPr>
      </w:pPr>
    </w:p>
    <w:p w:rsidR="00F536DB" w:rsidRPr="00220AED" w:rsidRDefault="00104FF8" w:rsidP="00B01D2F">
      <w:pPr>
        <w:overflowPunct/>
        <w:spacing w:after="0"/>
        <w:contextualSpacing/>
        <w:textAlignment w:val="auto"/>
        <w:rPr>
          <w:rFonts w:asciiTheme="minorHAnsi" w:hAnsiTheme="minorHAnsi"/>
          <w:sz w:val="22"/>
          <w:szCs w:val="22"/>
        </w:rPr>
      </w:pPr>
      <w:r w:rsidRPr="00220AED">
        <w:rPr>
          <w:rFonts w:asciiTheme="minorHAnsi" w:hAnsiTheme="minorHAnsi"/>
          <w:sz w:val="22"/>
          <w:szCs w:val="22"/>
        </w:rPr>
        <w:t>O</w:t>
      </w:r>
      <w:r w:rsidR="00F536DB" w:rsidRPr="00220AED">
        <w:rPr>
          <w:rFonts w:asciiTheme="minorHAnsi" w:hAnsiTheme="minorHAnsi"/>
          <w:sz w:val="22"/>
          <w:szCs w:val="22"/>
        </w:rPr>
        <w:t>ur management team and their biographies</w:t>
      </w:r>
      <w:r w:rsidRPr="00220AED">
        <w:rPr>
          <w:rFonts w:asciiTheme="minorHAnsi" w:hAnsiTheme="minorHAnsi"/>
          <w:sz w:val="22"/>
          <w:szCs w:val="22"/>
        </w:rPr>
        <w:t>, as at the date of this</w:t>
      </w:r>
      <w:r w:rsidR="00A347AE" w:rsidRPr="00220AED">
        <w:rPr>
          <w:rFonts w:asciiTheme="minorHAnsi" w:hAnsiTheme="minorHAnsi"/>
          <w:sz w:val="22"/>
          <w:szCs w:val="22"/>
        </w:rPr>
        <w:t xml:space="preserve"> d</w:t>
      </w:r>
      <w:r w:rsidRPr="00220AED">
        <w:rPr>
          <w:rFonts w:asciiTheme="minorHAnsi" w:hAnsiTheme="minorHAnsi"/>
          <w:sz w:val="22"/>
          <w:szCs w:val="22"/>
        </w:rPr>
        <w:t>ocument, follow.</w:t>
      </w:r>
    </w:p>
    <w:p w:rsidR="00F536DB" w:rsidRPr="00220AED" w:rsidRDefault="00F536DB" w:rsidP="00F536DB">
      <w:pPr>
        <w:overflowPunct/>
        <w:spacing w:after="0"/>
        <w:contextualSpacing/>
        <w:textAlignment w:val="auto"/>
        <w:rPr>
          <w:rFonts w:asciiTheme="minorHAnsi" w:hAnsiTheme="minorHAnsi" w:cs="Arial"/>
          <w:sz w:val="22"/>
          <w:szCs w:val="22"/>
        </w:rPr>
      </w:pPr>
    </w:p>
    <w:p w:rsidR="00F536DB" w:rsidRPr="00220AED" w:rsidRDefault="00F536DB" w:rsidP="00150B0E">
      <w:pPr>
        <w:pStyle w:val="BodyText"/>
        <w:spacing w:before="0" w:line="240" w:lineRule="auto"/>
        <w:jc w:val="both"/>
        <w:rPr>
          <w:rFonts w:asciiTheme="minorHAnsi" w:hAnsiTheme="minorHAnsi" w:cs="Arial"/>
          <w:b/>
          <w:i/>
          <w:color w:val="000000"/>
          <w:sz w:val="24"/>
          <w:szCs w:val="24"/>
        </w:rPr>
      </w:pPr>
      <w:r w:rsidRPr="00220AED">
        <w:rPr>
          <w:rFonts w:asciiTheme="minorHAnsi" w:hAnsiTheme="minorHAnsi" w:cs="Arial"/>
          <w:b/>
          <w:i/>
          <w:color w:val="000000"/>
          <w:sz w:val="24"/>
          <w:szCs w:val="24"/>
        </w:rPr>
        <w:t>Grant Hope – BCom, CA, Chief Executive</w:t>
      </w:r>
    </w:p>
    <w:p w:rsidR="00F536DB" w:rsidRPr="00220AED" w:rsidRDefault="00F536DB" w:rsidP="00220AED">
      <w:pPr>
        <w:pStyle w:val="BodyText"/>
        <w:spacing w:before="180"/>
        <w:jc w:val="both"/>
        <w:rPr>
          <w:rFonts w:asciiTheme="minorHAnsi" w:hAnsiTheme="minorHAnsi" w:cs="Arial"/>
          <w:sz w:val="22"/>
          <w:szCs w:val="22"/>
        </w:rPr>
      </w:pPr>
      <w:r w:rsidRPr="00220AED">
        <w:rPr>
          <w:rFonts w:asciiTheme="minorHAnsi" w:hAnsiTheme="minorHAnsi" w:cs="Arial"/>
          <w:sz w:val="22"/>
          <w:szCs w:val="22"/>
        </w:rPr>
        <w:t xml:space="preserve">Grant has an extensive career in commercial and business management.  </w:t>
      </w:r>
    </w:p>
    <w:p w:rsidR="00F536DB" w:rsidRPr="00220AED" w:rsidRDefault="00F536DB" w:rsidP="00220AED">
      <w:pPr>
        <w:pStyle w:val="BodyText"/>
        <w:spacing w:before="180"/>
        <w:jc w:val="both"/>
        <w:rPr>
          <w:rFonts w:asciiTheme="minorHAnsi" w:hAnsiTheme="minorHAnsi" w:cs="Arial"/>
          <w:sz w:val="22"/>
          <w:szCs w:val="22"/>
        </w:rPr>
      </w:pPr>
      <w:r w:rsidRPr="00220AED">
        <w:rPr>
          <w:rFonts w:asciiTheme="minorHAnsi" w:hAnsiTheme="minorHAnsi" w:cs="Arial"/>
          <w:sz w:val="22"/>
          <w:szCs w:val="22"/>
        </w:rPr>
        <w:t>Following the completion of a Bachelor of Commerce degree at the University of Otago Grant joined the accounting and consulting firm of KPMG. After nine years working in New Zealand, the Channel Islands and the United Kingdom Grant transferred his experience gained in the fields of audit and corporate to the private sector working in senior management and chief financial officer roles in New Zealand.</w:t>
      </w:r>
    </w:p>
    <w:p w:rsidR="00F536DB" w:rsidRPr="00220AED" w:rsidRDefault="00F536DB" w:rsidP="00220AED">
      <w:pPr>
        <w:pStyle w:val="BodyText"/>
        <w:spacing w:before="180"/>
        <w:jc w:val="both"/>
        <w:rPr>
          <w:rFonts w:asciiTheme="minorHAnsi" w:hAnsiTheme="minorHAnsi" w:cs="Arial"/>
          <w:sz w:val="22"/>
          <w:szCs w:val="22"/>
        </w:rPr>
      </w:pPr>
      <w:r w:rsidRPr="00220AED">
        <w:rPr>
          <w:rFonts w:asciiTheme="minorHAnsi" w:hAnsiTheme="minorHAnsi" w:cs="Arial"/>
          <w:sz w:val="22"/>
          <w:szCs w:val="22"/>
        </w:rPr>
        <w:t xml:space="preserve">Grant joined Trust Investments Management Limited in 2002 and was appointed Chief Executive in 2010.  </w:t>
      </w:r>
    </w:p>
    <w:p w:rsidR="00F536DB" w:rsidRPr="00220AED" w:rsidRDefault="00F536DB" w:rsidP="00220AED">
      <w:pPr>
        <w:pStyle w:val="BodyText"/>
        <w:spacing w:before="180"/>
        <w:jc w:val="both"/>
        <w:rPr>
          <w:rFonts w:asciiTheme="minorHAnsi" w:hAnsiTheme="minorHAnsi" w:cs="Arial"/>
          <w:sz w:val="22"/>
          <w:szCs w:val="22"/>
        </w:rPr>
      </w:pPr>
      <w:r w:rsidRPr="00220AED">
        <w:rPr>
          <w:rFonts w:asciiTheme="minorHAnsi" w:hAnsiTheme="minorHAnsi" w:cs="Arial"/>
          <w:sz w:val="22"/>
          <w:szCs w:val="22"/>
        </w:rPr>
        <w:t xml:space="preserve">He is a Chartered Accountant and a member of the Institute of Directors and the Institute of Financial Professionals of New Zealand.  </w:t>
      </w:r>
    </w:p>
    <w:p w:rsidR="00F536DB" w:rsidRPr="00220AED" w:rsidRDefault="00F536DB" w:rsidP="00F536DB">
      <w:pPr>
        <w:pStyle w:val="BodyText"/>
        <w:spacing w:before="0" w:after="0"/>
        <w:jc w:val="both"/>
        <w:rPr>
          <w:rFonts w:asciiTheme="minorHAnsi" w:hAnsiTheme="minorHAnsi" w:cs="Arial"/>
          <w:b/>
          <w:sz w:val="22"/>
          <w:szCs w:val="22"/>
        </w:rPr>
      </w:pPr>
    </w:p>
    <w:p w:rsidR="00D806E0" w:rsidRDefault="00D806E0" w:rsidP="00150B0E">
      <w:pPr>
        <w:pStyle w:val="BodyText"/>
        <w:spacing w:before="0" w:line="240" w:lineRule="auto"/>
        <w:jc w:val="both"/>
        <w:rPr>
          <w:rFonts w:asciiTheme="minorHAnsi" w:hAnsiTheme="minorHAnsi" w:cs="Arial"/>
          <w:b/>
          <w:i/>
          <w:color w:val="000000"/>
          <w:sz w:val="24"/>
          <w:szCs w:val="24"/>
        </w:rPr>
      </w:pPr>
    </w:p>
    <w:p w:rsidR="00970875" w:rsidRDefault="00970875">
      <w:pPr>
        <w:overflowPunct/>
        <w:autoSpaceDE/>
        <w:autoSpaceDN/>
        <w:adjustRightInd/>
        <w:spacing w:after="0"/>
        <w:jc w:val="left"/>
        <w:textAlignment w:val="auto"/>
        <w:rPr>
          <w:rFonts w:asciiTheme="minorHAnsi" w:hAnsiTheme="minorHAnsi" w:cs="Arial"/>
          <w:b/>
          <w:bCs/>
          <w:i/>
          <w:color w:val="000000"/>
          <w:kern w:val="20"/>
          <w:sz w:val="24"/>
          <w:szCs w:val="24"/>
          <w:lang w:eastAsia="en-US"/>
        </w:rPr>
      </w:pPr>
      <w:r>
        <w:rPr>
          <w:rFonts w:asciiTheme="minorHAnsi" w:hAnsiTheme="minorHAnsi" w:cs="Arial"/>
          <w:b/>
          <w:i/>
          <w:color w:val="000000"/>
          <w:sz w:val="24"/>
          <w:szCs w:val="24"/>
        </w:rPr>
        <w:br w:type="page"/>
      </w:r>
    </w:p>
    <w:p w:rsidR="00F536DB" w:rsidRPr="00220AED" w:rsidRDefault="00A2731D" w:rsidP="00150B0E">
      <w:pPr>
        <w:pStyle w:val="BodyText"/>
        <w:spacing w:before="0" w:line="240" w:lineRule="auto"/>
        <w:jc w:val="both"/>
        <w:rPr>
          <w:rFonts w:asciiTheme="minorHAnsi" w:hAnsiTheme="minorHAnsi" w:cs="Arial"/>
          <w:b/>
          <w:i/>
          <w:color w:val="000000"/>
          <w:sz w:val="24"/>
          <w:szCs w:val="24"/>
        </w:rPr>
      </w:pPr>
      <w:r>
        <w:rPr>
          <w:rFonts w:cs="Arial"/>
          <w:noProof/>
          <w:sz w:val="22"/>
          <w:szCs w:val="22"/>
          <w:lang w:eastAsia="en-NZ"/>
        </w:rPr>
        <w:pict w14:anchorId="4D35BF02">
          <v:shape id="_x0000_s1041" style="position:absolute;left:0;text-align:left;margin-left:-31.5pt;margin-top:-47.3pt;width:559.5pt;height:804.6pt;rotation:180;flip:x;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r w:rsidR="00F536DB" w:rsidRPr="00220AED">
        <w:rPr>
          <w:rFonts w:asciiTheme="minorHAnsi" w:hAnsiTheme="minorHAnsi" w:cs="Arial"/>
          <w:b/>
          <w:i/>
          <w:color w:val="000000"/>
          <w:sz w:val="24"/>
          <w:szCs w:val="24"/>
        </w:rPr>
        <w:t xml:space="preserve">Shane Coward – BCom, General Manager </w:t>
      </w:r>
    </w:p>
    <w:p w:rsidR="00F536DB" w:rsidRPr="00220AED" w:rsidRDefault="00F536DB" w:rsidP="00220AED">
      <w:pPr>
        <w:pStyle w:val="BodyText"/>
        <w:spacing w:before="180"/>
        <w:jc w:val="both"/>
        <w:rPr>
          <w:rFonts w:asciiTheme="minorHAnsi" w:hAnsiTheme="minorHAnsi" w:cs="Arial"/>
          <w:sz w:val="22"/>
          <w:szCs w:val="22"/>
        </w:rPr>
      </w:pPr>
      <w:r w:rsidRPr="00220AED">
        <w:rPr>
          <w:rFonts w:asciiTheme="minorHAnsi" w:hAnsiTheme="minorHAnsi" w:cs="Arial"/>
          <w:sz w:val="22"/>
          <w:szCs w:val="22"/>
        </w:rPr>
        <w:t xml:space="preserve">Shane is responsible for the successful implementation of the business plan objectives and client service deliverables. Shane is also responsible for the </w:t>
      </w:r>
      <w:r w:rsidR="006376AF">
        <w:rPr>
          <w:rFonts w:asciiTheme="minorHAnsi" w:hAnsiTheme="minorHAnsi" w:cs="Arial"/>
          <w:sz w:val="22"/>
          <w:szCs w:val="22"/>
        </w:rPr>
        <w:t xml:space="preserve">oversight of the </w:t>
      </w:r>
      <w:r w:rsidRPr="00220AED">
        <w:rPr>
          <w:rFonts w:asciiTheme="minorHAnsi" w:hAnsiTheme="minorHAnsi" w:cs="Arial"/>
          <w:sz w:val="22"/>
          <w:szCs w:val="22"/>
        </w:rPr>
        <w:t>risk management and regulatory compliance of Trust Management. In addition to these duties, Shane provides Governance Services to a number of our clients.</w:t>
      </w:r>
    </w:p>
    <w:p w:rsidR="00F536DB" w:rsidRPr="00220AED" w:rsidRDefault="00F536DB" w:rsidP="00220AED">
      <w:pPr>
        <w:pStyle w:val="BodyText"/>
        <w:spacing w:before="180"/>
        <w:jc w:val="both"/>
        <w:rPr>
          <w:rFonts w:asciiTheme="minorHAnsi" w:hAnsiTheme="minorHAnsi" w:cs="Arial"/>
          <w:sz w:val="22"/>
          <w:szCs w:val="22"/>
        </w:rPr>
      </w:pPr>
      <w:r w:rsidRPr="00220AED">
        <w:rPr>
          <w:rFonts w:asciiTheme="minorHAnsi" w:hAnsiTheme="minorHAnsi" w:cs="Arial"/>
          <w:sz w:val="22"/>
          <w:szCs w:val="22"/>
        </w:rPr>
        <w:t xml:space="preserve">Shane </w:t>
      </w:r>
      <w:r w:rsidR="006376AF">
        <w:rPr>
          <w:rFonts w:asciiTheme="minorHAnsi" w:hAnsiTheme="minorHAnsi" w:cs="Arial"/>
          <w:sz w:val="22"/>
          <w:szCs w:val="22"/>
        </w:rPr>
        <w:t>has significant experience</w:t>
      </w:r>
      <w:r w:rsidRPr="00220AED">
        <w:rPr>
          <w:rFonts w:asciiTheme="minorHAnsi" w:hAnsiTheme="minorHAnsi" w:cs="Arial"/>
          <w:sz w:val="22"/>
          <w:szCs w:val="22"/>
        </w:rPr>
        <w:t xml:space="preserve"> in the finance and commercial management fields. Prior to joining Trust Investments Management Limited in 2003, Shane worked for Globe International (N.Z.) Limited, as the Finance Manager.</w:t>
      </w:r>
    </w:p>
    <w:p w:rsidR="00F536DB" w:rsidRPr="00220AED" w:rsidRDefault="00F536DB" w:rsidP="00F536DB">
      <w:pPr>
        <w:pStyle w:val="BodyText"/>
        <w:spacing w:before="0" w:after="0"/>
        <w:ind w:right="0"/>
        <w:jc w:val="both"/>
        <w:rPr>
          <w:rFonts w:asciiTheme="minorHAnsi" w:hAnsiTheme="minorHAnsi" w:cs="Arial"/>
          <w:b/>
          <w:bCs w:val="0"/>
          <w:sz w:val="22"/>
          <w:szCs w:val="22"/>
        </w:rPr>
      </w:pPr>
    </w:p>
    <w:p w:rsidR="00F536DB" w:rsidRPr="00220AED" w:rsidRDefault="00F536DB" w:rsidP="00150B0E">
      <w:pPr>
        <w:pStyle w:val="BodyText"/>
        <w:spacing w:before="0" w:line="240" w:lineRule="auto"/>
        <w:jc w:val="both"/>
        <w:rPr>
          <w:rFonts w:asciiTheme="minorHAnsi" w:hAnsiTheme="minorHAnsi" w:cs="Arial"/>
          <w:b/>
          <w:i/>
          <w:color w:val="000000"/>
          <w:sz w:val="24"/>
          <w:szCs w:val="24"/>
        </w:rPr>
      </w:pPr>
      <w:r w:rsidRPr="00220AED">
        <w:rPr>
          <w:rFonts w:asciiTheme="minorHAnsi" w:hAnsiTheme="minorHAnsi" w:cs="Arial"/>
          <w:b/>
          <w:i/>
          <w:color w:val="000000"/>
          <w:sz w:val="24"/>
          <w:szCs w:val="24"/>
        </w:rPr>
        <w:t>Patrick O’Reilly – MProp, PGDipCom, BCom(VPM)</w:t>
      </w:r>
      <w:r w:rsidR="00104FF8" w:rsidRPr="00220AED">
        <w:rPr>
          <w:rFonts w:asciiTheme="minorHAnsi" w:hAnsiTheme="minorHAnsi" w:cs="Arial"/>
          <w:b/>
          <w:i/>
          <w:color w:val="000000"/>
          <w:sz w:val="24"/>
          <w:szCs w:val="24"/>
        </w:rPr>
        <w:t>, General Manager Property</w:t>
      </w:r>
    </w:p>
    <w:p w:rsidR="00F536DB" w:rsidRPr="00220AED" w:rsidRDefault="00F536DB" w:rsidP="00220AED">
      <w:pPr>
        <w:pStyle w:val="BodyText"/>
        <w:spacing w:before="180"/>
        <w:jc w:val="both"/>
        <w:rPr>
          <w:rFonts w:asciiTheme="minorHAnsi" w:hAnsiTheme="minorHAnsi" w:cs="Arial"/>
          <w:sz w:val="22"/>
          <w:szCs w:val="22"/>
        </w:rPr>
      </w:pPr>
      <w:r w:rsidRPr="00220AED">
        <w:rPr>
          <w:rFonts w:asciiTheme="minorHAnsi" w:hAnsiTheme="minorHAnsi" w:cs="Arial"/>
          <w:sz w:val="22"/>
          <w:szCs w:val="22"/>
        </w:rPr>
        <w:t xml:space="preserve">Patrick leads the Property </w:t>
      </w:r>
      <w:r w:rsidR="006376AF">
        <w:rPr>
          <w:rFonts w:asciiTheme="minorHAnsi" w:hAnsiTheme="minorHAnsi" w:cs="Arial"/>
          <w:sz w:val="22"/>
          <w:szCs w:val="22"/>
        </w:rPr>
        <w:t xml:space="preserve">Asset Management </w:t>
      </w:r>
      <w:r w:rsidRPr="00220AED">
        <w:rPr>
          <w:rFonts w:asciiTheme="minorHAnsi" w:hAnsiTheme="minorHAnsi" w:cs="Arial"/>
          <w:sz w:val="22"/>
          <w:szCs w:val="22"/>
        </w:rPr>
        <w:t xml:space="preserve">Team and is responsible for the portfolio management </w:t>
      </w:r>
      <w:r w:rsidR="006376AF">
        <w:rPr>
          <w:rFonts w:asciiTheme="minorHAnsi" w:hAnsiTheme="minorHAnsi" w:cs="Arial"/>
          <w:sz w:val="22"/>
          <w:szCs w:val="22"/>
        </w:rPr>
        <w:t xml:space="preserve">and performance </w:t>
      </w:r>
      <w:r w:rsidRPr="00220AED">
        <w:rPr>
          <w:rFonts w:asciiTheme="minorHAnsi" w:hAnsiTheme="minorHAnsi" w:cs="Arial"/>
          <w:sz w:val="22"/>
          <w:szCs w:val="22"/>
        </w:rPr>
        <w:t>of the Property Fund, as well as a number of discrete property portfolios.</w:t>
      </w:r>
      <w:r w:rsidR="0062627D">
        <w:rPr>
          <w:rFonts w:asciiTheme="minorHAnsi" w:hAnsiTheme="minorHAnsi" w:cs="Arial"/>
          <w:sz w:val="22"/>
          <w:szCs w:val="22"/>
        </w:rPr>
        <w:t xml:space="preserve"> </w:t>
      </w:r>
      <w:r w:rsidRPr="00220AED">
        <w:rPr>
          <w:rFonts w:asciiTheme="minorHAnsi" w:hAnsiTheme="minorHAnsi" w:cs="Arial"/>
          <w:sz w:val="22"/>
          <w:szCs w:val="22"/>
        </w:rPr>
        <w:t xml:space="preserve">Patrick has a wealth of experience in the New Zealand property sector, through his previous roles with NZX </w:t>
      </w:r>
      <w:r w:rsidR="00801226">
        <w:rPr>
          <w:rFonts w:asciiTheme="minorHAnsi" w:hAnsiTheme="minorHAnsi" w:cs="Arial"/>
          <w:sz w:val="22"/>
          <w:szCs w:val="22"/>
        </w:rPr>
        <w:t>l</w:t>
      </w:r>
      <w:r w:rsidRPr="00220AED">
        <w:rPr>
          <w:rFonts w:asciiTheme="minorHAnsi" w:hAnsiTheme="minorHAnsi" w:cs="Arial"/>
          <w:sz w:val="22"/>
          <w:szCs w:val="22"/>
        </w:rPr>
        <w:t>isted and non listed companies, including at Brookfield Offices Properties, DNZ Property Fund (Stride), and AMP Capital.</w:t>
      </w:r>
    </w:p>
    <w:p w:rsidR="00F536DB" w:rsidRPr="006376AF" w:rsidRDefault="006376AF" w:rsidP="00F536DB">
      <w:pPr>
        <w:pStyle w:val="BodyText"/>
        <w:spacing w:before="0" w:after="0"/>
        <w:ind w:right="0"/>
        <w:jc w:val="both"/>
        <w:rPr>
          <w:rFonts w:asciiTheme="minorHAnsi" w:hAnsiTheme="minorHAnsi" w:cs="Arial"/>
          <w:sz w:val="22"/>
          <w:szCs w:val="22"/>
        </w:rPr>
      </w:pPr>
      <w:r w:rsidRPr="006376AF">
        <w:rPr>
          <w:rFonts w:asciiTheme="minorHAnsi" w:hAnsiTheme="minorHAnsi" w:cs="Arial"/>
          <w:sz w:val="22"/>
          <w:szCs w:val="22"/>
        </w:rPr>
        <w:t>Patrick is a Fellow of the Property Institute of New Zealand.</w:t>
      </w:r>
    </w:p>
    <w:p w:rsidR="006376AF" w:rsidRPr="00220AED" w:rsidRDefault="006376AF" w:rsidP="00F536DB">
      <w:pPr>
        <w:pStyle w:val="BodyText"/>
        <w:spacing w:before="0" w:after="0"/>
        <w:ind w:right="0"/>
        <w:jc w:val="both"/>
        <w:rPr>
          <w:rFonts w:asciiTheme="minorHAnsi" w:hAnsiTheme="minorHAnsi" w:cs="Arial"/>
          <w:b/>
          <w:bCs w:val="0"/>
          <w:sz w:val="22"/>
          <w:szCs w:val="22"/>
        </w:rPr>
      </w:pPr>
    </w:p>
    <w:p w:rsidR="00F536DB" w:rsidRPr="00220AED" w:rsidRDefault="00E912B0" w:rsidP="00150B0E">
      <w:pPr>
        <w:pStyle w:val="BodyText"/>
        <w:spacing w:before="0" w:line="240" w:lineRule="auto"/>
        <w:jc w:val="both"/>
        <w:rPr>
          <w:rFonts w:asciiTheme="minorHAnsi" w:hAnsiTheme="minorHAnsi" w:cs="Arial"/>
          <w:b/>
          <w:i/>
          <w:color w:val="000000"/>
          <w:sz w:val="24"/>
          <w:szCs w:val="24"/>
        </w:rPr>
      </w:pPr>
      <w:r>
        <w:rPr>
          <w:rFonts w:asciiTheme="minorHAnsi" w:hAnsiTheme="minorHAnsi" w:cs="Arial"/>
          <w:b/>
          <w:i/>
          <w:color w:val="000000"/>
          <w:sz w:val="24"/>
          <w:szCs w:val="24"/>
        </w:rPr>
        <w:t xml:space="preserve">Matthew Goldsack – </w:t>
      </w:r>
      <w:proofErr w:type="spellStart"/>
      <w:r>
        <w:rPr>
          <w:rFonts w:asciiTheme="minorHAnsi" w:hAnsiTheme="minorHAnsi" w:cs="Arial"/>
          <w:b/>
          <w:i/>
          <w:color w:val="000000"/>
          <w:sz w:val="24"/>
          <w:szCs w:val="24"/>
        </w:rPr>
        <w:t>BCom</w:t>
      </w:r>
      <w:proofErr w:type="spellEnd"/>
      <w:r w:rsidR="00C8658F">
        <w:rPr>
          <w:rFonts w:asciiTheme="minorHAnsi" w:hAnsiTheme="minorHAnsi" w:cs="Arial"/>
          <w:b/>
          <w:i/>
          <w:color w:val="000000"/>
          <w:sz w:val="24"/>
          <w:szCs w:val="24"/>
        </w:rPr>
        <w:t xml:space="preserve">, </w:t>
      </w:r>
      <w:proofErr w:type="spellStart"/>
      <w:r w:rsidR="00C8658F">
        <w:rPr>
          <w:rFonts w:asciiTheme="minorHAnsi" w:hAnsiTheme="minorHAnsi" w:cs="Arial"/>
          <w:b/>
          <w:i/>
          <w:color w:val="000000"/>
          <w:sz w:val="24"/>
          <w:szCs w:val="24"/>
        </w:rPr>
        <w:t>GradDipBus</w:t>
      </w:r>
      <w:proofErr w:type="spellEnd"/>
      <w:r w:rsidR="00C8658F">
        <w:rPr>
          <w:rFonts w:asciiTheme="minorHAnsi" w:hAnsiTheme="minorHAnsi" w:cs="Arial"/>
          <w:b/>
          <w:i/>
          <w:color w:val="000000"/>
          <w:sz w:val="24"/>
          <w:szCs w:val="24"/>
        </w:rPr>
        <w:t>(Fin), Associate, INFINZ, General Manager Investments</w:t>
      </w:r>
      <w:r w:rsidR="00C8658F" w:rsidRPr="00220AED" w:rsidDel="00D806E0">
        <w:rPr>
          <w:rFonts w:asciiTheme="minorHAnsi" w:hAnsiTheme="minorHAnsi" w:cs="Arial"/>
          <w:b/>
          <w:i/>
          <w:color w:val="000000"/>
          <w:sz w:val="24"/>
          <w:szCs w:val="24"/>
        </w:rPr>
        <w:t xml:space="preserve"> </w:t>
      </w:r>
    </w:p>
    <w:p w:rsidR="005F07CA" w:rsidRPr="00220AED" w:rsidRDefault="00C8658F" w:rsidP="005F07CA">
      <w:pPr>
        <w:pStyle w:val="BodyText"/>
        <w:spacing w:before="180"/>
        <w:rPr>
          <w:rFonts w:asciiTheme="minorHAnsi" w:hAnsiTheme="minorHAnsi" w:cs="Arial"/>
          <w:sz w:val="22"/>
          <w:szCs w:val="22"/>
        </w:rPr>
      </w:pPr>
      <w:r>
        <w:rPr>
          <w:rFonts w:asciiTheme="minorHAnsi" w:hAnsiTheme="minorHAnsi" w:cs="Arial"/>
          <w:sz w:val="22"/>
          <w:szCs w:val="22"/>
        </w:rPr>
        <w:t>Matthew</w:t>
      </w:r>
      <w:r w:rsidRPr="00220AED">
        <w:rPr>
          <w:rFonts w:asciiTheme="minorHAnsi" w:hAnsiTheme="minorHAnsi" w:cs="Arial"/>
          <w:sz w:val="22"/>
          <w:szCs w:val="22"/>
        </w:rPr>
        <w:t xml:space="preserve"> </w:t>
      </w:r>
      <w:r w:rsidR="004F6552">
        <w:rPr>
          <w:rFonts w:asciiTheme="minorHAnsi" w:hAnsiTheme="minorHAnsi" w:cs="Arial"/>
          <w:sz w:val="22"/>
          <w:szCs w:val="22"/>
        </w:rPr>
        <w:t xml:space="preserve">oversees the management of </w:t>
      </w:r>
      <w:r w:rsidR="00F536DB" w:rsidRPr="00220AED">
        <w:rPr>
          <w:rFonts w:asciiTheme="minorHAnsi" w:hAnsiTheme="minorHAnsi" w:cs="Arial"/>
          <w:sz w:val="22"/>
          <w:szCs w:val="22"/>
        </w:rPr>
        <w:t xml:space="preserve"> the </w:t>
      </w:r>
      <w:r>
        <w:rPr>
          <w:rFonts w:asciiTheme="minorHAnsi" w:hAnsiTheme="minorHAnsi" w:cs="Arial"/>
          <w:sz w:val="22"/>
          <w:szCs w:val="22"/>
        </w:rPr>
        <w:t>Funds</w:t>
      </w:r>
      <w:r w:rsidR="00F536DB" w:rsidRPr="00220AED">
        <w:rPr>
          <w:rFonts w:asciiTheme="minorHAnsi" w:hAnsiTheme="minorHAnsi" w:cs="Arial"/>
          <w:sz w:val="22"/>
          <w:szCs w:val="22"/>
        </w:rPr>
        <w:t xml:space="preserve"> and the direct accounts of a number of larger clients. This involves discretionary management of New Zealand fixed interest portfolios, management of the currency hedging of international assets and manager selection for the International and Australasian funds. </w:t>
      </w:r>
      <w:r>
        <w:rPr>
          <w:rFonts w:asciiTheme="minorHAnsi" w:hAnsiTheme="minorHAnsi" w:cs="Arial"/>
          <w:sz w:val="22"/>
          <w:szCs w:val="22"/>
        </w:rPr>
        <w:t>Matthew</w:t>
      </w:r>
      <w:r w:rsidRPr="00220AED">
        <w:rPr>
          <w:rFonts w:asciiTheme="minorHAnsi" w:hAnsiTheme="minorHAnsi" w:cs="Arial"/>
          <w:sz w:val="22"/>
          <w:szCs w:val="22"/>
        </w:rPr>
        <w:t xml:space="preserve"> </w:t>
      </w:r>
      <w:r w:rsidR="00F536DB" w:rsidRPr="00220AED">
        <w:rPr>
          <w:rFonts w:asciiTheme="minorHAnsi" w:hAnsiTheme="minorHAnsi" w:cs="Arial"/>
          <w:sz w:val="22"/>
          <w:szCs w:val="22"/>
        </w:rPr>
        <w:t xml:space="preserve">has previously had a range of roles in the institutional funds management industry, </w:t>
      </w:r>
      <w:r>
        <w:rPr>
          <w:rFonts w:asciiTheme="minorHAnsi" w:hAnsiTheme="minorHAnsi" w:cs="Arial"/>
          <w:sz w:val="22"/>
          <w:szCs w:val="22"/>
        </w:rPr>
        <w:t xml:space="preserve">notably for BT Funds Management and </w:t>
      </w:r>
      <w:r w:rsidR="00DB0429">
        <w:rPr>
          <w:rFonts w:asciiTheme="minorHAnsi" w:hAnsiTheme="minorHAnsi" w:cs="Arial"/>
          <w:sz w:val="22"/>
          <w:szCs w:val="22"/>
        </w:rPr>
        <w:t xml:space="preserve">AXA </w:t>
      </w:r>
      <w:r>
        <w:rPr>
          <w:rFonts w:asciiTheme="minorHAnsi" w:hAnsiTheme="minorHAnsi" w:cs="Arial"/>
          <w:sz w:val="22"/>
          <w:szCs w:val="22"/>
        </w:rPr>
        <w:t>Global Investors</w:t>
      </w:r>
      <w:r w:rsidR="005F07CA" w:rsidRPr="005F07CA">
        <w:rPr>
          <w:rFonts w:asciiTheme="minorHAnsi" w:hAnsiTheme="minorHAnsi" w:cs="Arial"/>
          <w:sz w:val="22"/>
          <w:szCs w:val="22"/>
        </w:rPr>
        <w:t>.</w:t>
      </w:r>
      <w:r w:rsidR="005A2400">
        <w:rPr>
          <w:rFonts w:asciiTheme="minorHAnsi" w:hAnsiTheme="minorHAnsi" w:cs="Arial"/>
          <w:sz w:val="22"/>
          <w:szCs w:val="22"/>
        </w:rPr>
        <w:t xml:space="preserve"> </w:t>
      </w:r>
    </w:p>
    <w:p w:rsidR="00F536DB" w:rsidRPr="00220AED" w:rsidRDefault="00F536DB" w:rsidP="00F536DB">
      <w:pPr>
        <w:pStyle w:val="BodyText"/>
        <w:spacing w:before="0" w:after="0"/>
        <w:jc w:val="both"/>
        <w:rPr>
          <w:rFonts w:asciiTheme="minorHAnsi" w:hAnsiTheme="minorHAnsi" w:cs="Arial"/>
          <w:b/>
          <w:sz w:val="22"/>
          <w:szCs w:val="22"/>
        </w:rPr>
      </w:pPr>
    </w:p>
    <w:p w:rsidR="00F536DB" w:rsidRPr="00220AED" w:rsidRDefault="00F536DB" w:rsidP="00150B0E">
      <w:pPr>
        <w:pStyle w:val="BodyText"/>
        <w:spacing w:before="0" w:line="240" w:lineRule="auto"/>
        <w:jc w:val="both"/>
        <w:rPr>
          <w:rFonts w:asciiTheme="minorHAnsi" w:hAnsiTheme="minorHAnsi" w:cs="Arial"/>
          <w:b/>
          <w:i/>
          <w:color w:val="000000"/>
          <w:sz w:val="24"/>
          <w:szCs w:val="24"/>
        </w:rPr>
      </w:pPr>
      <w:r w:rsidRPr="00220AED">
        <w:rPr>
          <w:rFonts w:asciiTheme="minorHAnsi" w:hAnsiTheme="minorHAnsi" w:cs="Arial"/>
          <w:b/>
          <w:i/>
          <w:color w:val="000000"/>
          <w:sz w:val="24"/>
          <w:szCs w:val="24"/>
        </w:rPr>
        <w:t>Anne Edwards –</w:t>
      </w:r>
      <w:r w:rsidR="00821D0C" w:rsidRPr="00220AED">
        <w:rPr>
          <w:rFonts w:asciiTheme="minorHAnsi" w:hAnsiTheme="minorHAnsi" w:cs="Arial"/>
          <w:b/>
          <w:i/>
          <w:color w:val="000000"/>
          <w:sz w:val="24"/>
          <w:szCs w:val="24"/>
        </w:rPr>
        <w:t xml:space="preserve"> </w:t>
      </w:r>
      <w:r w:rsidRPr="00220AED">
        <w:rPr>
          <w:rFonts w:asciiTheme="minorHAnsi" w:hAnsiTheme="minorHAnsi" w:cs="Arial"/>
          <w:b/>
          <w:i/>
          <w:color w:val="000000"/>
          <w:sz w:val="24"/>
          <w:szCs w:val="24"/>
        </w:rPr>
        <w:t xml:space="preserve">MBA, CA, General Manager Finance </w:t>
      </w:r>
    </w:p>
    <w:p w:rsidR="00F536DB" w:rsidRPr="00220AED" w:rsidRDefault="00F536DB" w:rsidP="00220AED">
      <w:pPr>
        <w:pStyle w:val="BodyText"/>
        <w:spacing w:before="180"/>
        <w:jc w:val="both"/>
        <w:rPr>
          <w:rFonts w:asciiTheme="minorHAnsi" w:hAnsiTheme="minorHAnsi" w:cs="Arial"/>
          <w:sz w:val="22"/>
          <w:szCs w:val="22"/>
        </w:rPr>
      </w:pPr>
      <w:r w:rsidRPr="00220AED">
        <w:rPr>
          <w:rFonts w:asciiTheme="minorHAnsi" w:hAnsiTheme="minorHAnsi" w:cs="Arial"/>
          <w:sz w:val="22"/>
          <w:szCs w:val="22"/>
        </w:rPr>
        <w:t xml:space="preserve">Anne is responsible for Trust Management’s Financial Services function. Anne is also responsible for the oversight of the preparation of NZ IFRS compliant annual financial statements on behalf of the Funds and various clients, as well as liaising with external auditors and advisers. </w:t>
      </w:r>
    </w:p>
    <w:p w:rsidR="00F536DB" w:rsidRPr="00220AED" w:rsidRDefault="00F536DB" w:rsidP="00220AED">
      <w:pPr>
        <w:pStyle w:val="BodyText"/>
        <w:spacing w:before="180"/>
        <w:jc w:val="both"/>
        <w:rPr>
          <w:rFonts w:asciiTheme="minorHAnsi" w:hAnsiTheme="minorHAnsi" w:cs="Arial"/>
          <w:sz w:val="22"/>
          <w:szCs w:val="22"/>
        </w:rPr>
      </w:pPr>
      <w:r w:rsidRPr="00220AED">
        <w:rPr>
          <w:rFonts w:asciiTheme="minorHAnsi" w:hAnsiTheme="minorHAnsi" w:cs="Arial"/>
          <w:sz w:val="22"/>
          <w:szCs w:val="22"/>
        </w:rPr>
        <w:t>Prior to joining Trust Management</w:t>
      </w:r>
      <w:r w:rsidR="00CE5DE2" w:rsidRPr="00220AED">
        <w:rPr>
          <w:rFonts w:asciiTheme="minorHAnsi" w:hAnsiTheme="minorHAnsi" w:cs="Arial"/>
          <w:sz w:val="22"/>
          <w:szCs w:val="22"/>
        </w:rPr>
        <w:t>,</w:t>
      </w:r>
      <w:r w:rsidRPr="00220AED">
        <w:rPr>
          <w:rFonts w:asciiTheme="minorHAnsi" w:hAnsiTheme="minorHAnsi" w:cs="Arial"/>
          <w:sz w:val="22"/>
          <w:szCs w:val="22"/>
        </w:rPr>
        <w:t xml:space="preserve"> Anne worked for the New Zealand offices of Swiss bank, UBS AG where she was Associate Director, Financial Control for the past 13 years. Prior to UBS AG, Anne was an Audit Manager for PricewaterhouseCoopers both in New Zealand and the United Kingdom.</w:t>
      </w:r>
    </w:p>
    <w:p w:rsidR="00F536DB" w:rsidRPr="00F536DB" w:rsidRDefault="00F536DB" w:rsidP="00F536DB">
      <w:pPr>
        <w:overflowPunct/>
        <w:spacing w:after="0"/>
        <w:contextualSpacing/>
        <w:textAlignment w:val="auto"/>
        <w:rPr>
          <w:rFonts w:cs="Arial"/>
          <w:szCs w:val="21"/>
        </w:rPr>
      </w:pPr>
    </w:p>
    <w:p w:rsidR="00821D0C" w:rsidRDefault="00821D0C" w:rsidP="00220AED">
      <w:pPr>
        <w:pStyle w:val="Heading2"/>
      </w:pPr>
      <w:r>
        <w:t>Investment Manager</w:t>
      </w:r>
    </w:p>
    <w:p w:rsidR="00821D0C" w:rsidRPr="00D2018C" w:rsidRDefault="00821D0C" w:rsidP="00821D0C">
      <w:pPr>
        <w:overflowPunct/>
        <w:spacing w:after="0"/>
        <w:contextualSpacing/>
        <w:textAlignment w:val="auto"/>
        <w:rPr>
          <w:b/>
        </w:rPr>
      </w:pPr>
    </w:p>
    <w:p w:rsidR="00821D0C" w:rsidRPr="00220AED" w:rsidRDefault="00821D0C" w:rsidP="00821D0C">
      <w:pPr>
        <w:pStyle w:val="BodyText"/>
        <w:spacing w:before="0" w:after="0"/>
        <w:jc w:val="both"/>
        <w:rPr>
          <w:rFonts w:asciiTheme="minorHAnsi" w:hAnsiTheme="minorHAnsi" w:cs="Arial"/>
          <w:sz w:val="22"/>
          <w:szCs w:val="22"/>
        </w:rPr>
      </w:pPr>
      <w:r w:rsidRPr="00220AED">
        <w:rPr>
          <w:rFonts w:asciiTheme="minorHAnsi" w:hAnsiTheme="minorHAnsi" w:cs="Arial"/>
          <w:sz w:val="22"/>
          <w:szCs w:val="22"/>
        </w:rPr>
        <w:t xml:space="preserve">We have appointed Harbour Asset Management Limited to act as the investment manager for the Sustainable Australasian Share Fund.  Harbour Asset Management Limited is a specialist investment management company, incorporated in New Zealand in 2006.  Further details about Harbour Asset Management Limited are contained on its website </w:t>
      </w:r>
      <w:hyperlink r:id="rId13" w:history="1">
        <w:r w:rsidR="00801226" w:rsidRPr="00A51897">
          <w:rPr>
            <w:rStyle w:val="Hyperlink"/>
            <w:rFonts w:asciiTheme="minorHAnsi" w:hAnsiTheme="minorHAnsi" w:cs="Arial"/>
            <w:sz w:val="22"/>
            <w:szCs w:val="22"/>
          </w:rPr>
          <w:t>www.harbourasset.co.nz</w:t>
        </w:r>
      </w:hyperlink>
      <w:r w:rsidRPr="00220AED">
        <w:rPr>
          <w:rFonts w:asciiTheme="minorHAnsi" w:hAnsiTheme="minorHAnsi" w:cs="Arial"/>
          <w:sz w:val="22"/>
          <w:szCs w:val="22"/>
        </w:rPr>
        <w:t>.</w:t>
      </w:r>
    </w:p>
    <w:p w:rsidR="00821D0C" w:rsidRPr="00220AED" w:rsidRDefault="00821D0C" w:rsidP="00821D0C">
      <w:pPr>
        <w:pStyle w:val="BodyText"/>
        <w:spacing w:before="0" w:after="0"/>
        <w:jc w:val="both"/>
        <w:rPr>
          <w:rFonts w:asciiTheme="minorHAnsi" w:hAnsiTheme="minorHAnsi" w:cs="Arial"/>
          <w:sz w:val="22"/>
          <w:szCs w:val="22"/>
        </w:rPr>
      </w:pPr>
    </w:p>
    <w:p w:rsidR="00AD5116" w:rsidRDefault="00821D0C" w:rsidP="00821D0C">
      <w:pPr>
        <w:pStyle w:val="BodyText"/>
        <w:spacing w:before="0" w:after="0"/>
        <w:jc w:val="both"/>
        <w:rPr>
          <w:rFonts w:asciiTheme="minorHAnsi" w:hAnsiTheme="minorHAnsi" w:cs="Arial"/>
          <w:sz w:val="22"/>
          <w:szCs w:val="22"/>
        </w:rPr>
      </w:pPr>
      <w:r w:rsidRPr="00220AED">
        <w:rPr>
          <w:rFonts w:asciiTheme="minorHAnsi" w:hAnsiTheme="minorHAnsi" w:cs="Arial"/>
          <w:sz w:val="22"/>
          <w:szCs w:val="22"/>
        </w:rPr>
        <w:t xml:space="preserve">The International Share Fund and International Bond Fund invest in funds managed by State Street Global Advisors, and in this respect State Street Global Advisors provides investment management services in relation to those Funds.  Further details about State Street Global Advisors are contained on its website </w:t>
      </w:r>
      <w:hyperlink r:id="rId14" w:history="1">
        <w:r w:rsidRPr="00220AED">
          <w:rPr>
            <w:rStyle w:val="Hyperlink"/>
            <w:rFonts w:asciiTheme="minorHAnsi" w:hAnsiTheme="minorHAnsi" w:cs="Arial"/>
            <w:sz w:val="22"/>
            <w:szCs w:val="22"/>
          </w:rPr>
          <w:t>www.ssga.com</w:t>
        </w:r>
      </w:hyperlink>
      <w:r w:rsidRPr="00220AED">
        <w:rPr>
          <w:rFonts w:asciiTheme="minorHAnsi" w:hAnsiTheme="minorHAnsi" w:cs="Arial"/>
          <w:sz w:val="22"/>
          <w:szCs w:val="22"/>
        </w:rPr>
        <w:t xml:space="preserve">.  </w:t>
      </w:r>
    </w:p>
    <w:p w:rsidR="00AD5116" w:rsidRDefault="00AD5116" w:rsidP="00821D0C">
      <w:pPr>
        <w:pStyle w:val="BodyText"/>
        <w:spacing w:before="0" w:after="0"/>
        <w:jc w:val="both"/>
        <w:rPr>
          <w:rFonts w:asciiTheme="minorHAnsi" w:hAnsiTheme="minorHAnsi" w:cs="Arial"/>
          <w:sz w:val="22"/>
          <w:szCs w:val="22"/>
        </w:rPr>
      </w:pPr>
    </w:p>
    <w:p w:rsidR="00821D0C" w:rsidRPr="00220AED" w:rsidRDefault="0018340A" w:rsidP="00821D0C">
      <w:pPr>
        <w:pStyle w:val="BodyText"/>
        <w:spacing w:before="0" w:after="0"/>
        <w:jc w:val="both"/>
        <w:rPr>
          <w:rFonts w:asciiTheme="minorHAnsi" w:hAnsiTheme="minorHAnsi" w:cs="Arial"/>
          <w:sz w:val="22"/>
          <w:szCs w:val="22"/>
        </w:rPr>
      </w:pPr>
      <w:r w:rsidRPr="00220AED">
        <w:rPr>
          <w:rFonts w:asciiTheme="minorHAnsi" w:hAnsiTheme="minorHAnsi" w:cs="Arial"/>
          <w:sz w:val="22"/>
          <w:szCs w:val="22"/>
        </w:rPr>
        <w:t xml:space="preserve">The funds that the International Share Fund and the International Bond Fund may invest into may change from time to time without us notifying you. </w:t>
      </w:r>
    </w:p>
    <w:p w:rsidR="00821D0C" w:rsidRDefault="00821D0C" w:rsidP="00821D0C">
      <w:pPr>
        <w:overflowPunct/>
        <w:spacing w:after="0"/>
        <w:contextualSpacing/>
        <w:textAlignment w:val="auto"/>
      </w:pPr>
    </w:p>
    <w:p w:rsidR="00970875" w:rsidRDefault="00970875">
      <w:pPr>
        <w:overflowPunct/>
        <w:autoSpaceDE/>
        <w:autoSpaceDN/>
        <w:adjustRightInd/>
        <w:spacing w:after="0"/>
        <w:jc w:val="left"/>
        <w:textAlignment w:val="auto"/>
        <w:rPr>
          <w:rFonts w:asciiTheme="minorHAnsi" w:hAnsiTheme="minorHAnsi"/>
          <w:b/>
          <w:color w:val="00B050"/>
          <w:sz w:val="28"/>
          <w:szCs w:val="28"/>
        </w:rPr>
      </w:pPr>
      <w:r>
        <w:br w:type="page"/>
      </w:r>
    </w:p>
    <w:p w:rsidR="00150B0E" w:rsidRDefault="00A2731D" w:rsidP="00220AED">
      <w:pPr>
        <w:pStyle w:val="Heading2"/>
      </w:pPr>
      <w:r>
        <w:rPr>
          <w:rFonts w:ascii="Arial" w:hAnsi="Arial" w:cs="Arial"/>
          <w:noProof/>
          <w:sz w:val="22"/>
          <w:szCs w:val="22"/>
        </w:rPr>
        <w:pict w14:anchorId="2EACA967">
          <v:shape id="_x0000_s1040" style="position:absolute;left:0;text-align:left;margin-left:-31.6pt;margin-top:-46.2pt;width:559.5pt;height:804.6pt;rotation:180;flip:x;z-index:2516541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r w:rsidR="00150B0E">
        <w:t xml:space="preserve">Supervisor </w:t>
      </w:r>
    </w:p>
    <w:p w:rsidR="00150B0E" w:rsidRPr="00220AED" w:rsidRDefault="00150B0E" w:rsidP="00821D0C">
      <w:pPr>
        <w:overflowPunct/>
        <w:spacing w:after="0"/>
        <w:contextualSpacing/>
        <w:textAlignment w:val="auto"/>
        <w:rPr>
          <w:rFonts w:asciiTheme="minorHAnsi" w:hAnsiTheme="minorHAnsi"/>
          <w:sz w:val="22"/>
          <w:szCs w:val="22"/>
        </w:rPr>
      </w:pPr>
      <w:r w:rsidRPr="00220AED">
        <w:rPr>
          <w:rFonts w:asciiTheme="minorHAnsi" w:hAnsiTheme="minorHAnsi"/>
          <w:sz w:val="22"/>
          <w:szCs w:val="22"/>
        </w:rPr>
        <w:t>The New Zealand Guardian Trust Company Limited is the supervisor (“</w:t>
      </w:r>
      <w:r w:rsidRPr="00220AED">
        <w:rPr>
          <w:rFonts w:asciiTheme="minorHAnsi" w:hAnsiTheme="minorHAnsi"/>
          <w:b/>
          <w:sz w:val="22"/>
          <w:szCs w:val="22"/>
        </w:rPr>
        <w:t>Supervisor</w:t>
      </w:r>
      <w:r w:rsidRPr="00220AED">
        <w:rPr>
          <w:rFonts w:asciiTheme="minorHAnsi" w:hAnsiTheme="minorHAnsi"/>
          <w:sz w:val="22"/>
          <w:szCs w:val="22"/>
        </w:rPr>
        <w:t>”) of the Funds.</w:t>
      </w:r>
    </w:p>
    <w:p w:rsidR="00150B0E" w:rsidRPr="00220AED" w:rsidRDefault="00150B0E" w:rsidP="00821D0C">
      <w:pPr>
        <w:overflowPunct/>
        <w:spacing w:after="0"/>
        <w:contextualSpacing/>
        <w:textAlignment w:val="auto"/>
        <w:rPr>
          <w:rFonts w:asciiTheme="minorHAnsi" w:hAnsiTheme="minorHAnsi"/>
          <w:sz w:val="22"/>
          <w:szCs w:val="22"/>
        </w:rPr>
      </w:pPr>
    </w:p>
    <w:p w:rsidR="00347C58" w:rsidRPr="00220AED" w:rsidRDefault="00347C58" w:rsidP="00821D0C">
      <w:pPr>
        <w:overflowPunct/>
        <w:spacing w:after="0"/>
        <w:contextualSpacing/>
        <w:textAlignment w:val="auto"/>
        <w:rPr>
          <w:rFonts w:asciiTheme="minorHAnsi" w:hAnsiTheme="minorHAnsi"/>
          <w:sz w:val="22"/>
          <w:szCs w:val="22"/>
        </w:rPr>
      </w:pPr>
      <w:r w:rsidRPr="00220AED">
        <w:rPr>
          <w:rFonts w:asciiTheme="minorHAnsi" w:hAnsiTheme="minorHAnsi"/>
          <w:sz w:val="22"/>
          <w:szCs w:val="22"/>
        </w:rPr>
        <w:t xml:space="preserve">The directors of the Supervisor, as at the date of this </w:t>
      </w:r>
      <w:r w:rsidR="00A347AE" w:rsidRPr="00220AED">
        <w:rPr>
          <w:rFonts w:asciiTheme="minorHAnsi" w:hAnsiTheme="minorHAnsi"/>
          <w:sz w:val="22"/>
          <w:szCs w:val="22"/>
        </w:rPr>
        <w:t>d</w:t>
      </w:r>
      <w:r w:rsidRPr="00220AED">
        <w:rPr>
          <w:rFonts w:asciiTheme="minorHAnsi" w:hAnsiTheme="minorHAnsi"/>
          <w:sz w:val="22"/>
          <w:szCs w:val="22"/>
        </w:rPr>
        <w:t>ocument, are:</w:t>
      </w:r>
    </w:p>
    <w:p w:rsidR="00347C58" w:rsidRPr="00220AED" w:rsidRDefault="00347C58" w:rsidP="00821D0C">
      <w:pPr>
        <w:overflowPunct/>
        <w:spacing w:after="0"/>
        <w:contextualSpacing/>
        <w:textAlignment w:val="auto"/>
        <w:rPr>
          <w:rFonts w:asciiTheme="minorHAnsi" w:hAnsiTheme="minorHAnsi"/>
          <w:sz w:val="22"/>
          <w:szCs w:val="22"/>
        </w:rPr>
      </w:pPr>
    </w:p>
    <w:p w:rsidR="00347C58" w:rsidRPr="00220AED" w:rsidRDefault="00347C58" w:rsidP="005D607B">
      <w:pPr>
        <w:numPr>
          <w:ilvl w:val="0"/>
          <w:numId w:val="26"/>
        </w:numPr>
        <w:overflowPunct/>
        <w:autoSpaceDE/>
        <w:autoSpaceDN/>
        <w:adjustRightInd/>
        <w:spacing w:after="0"/>
        <w:ind w:left="567" w:hanging="567"/>
        <w:textAlignment w:val="auto"/>
        <w:rPr>
          <w:rFonts w:asciiTheme="minorHAnsi" w:hAnsiTheme="minorHAnsi"/>
          <w:sz w:val="22"/>
          <w:szCs w:val="22"/>
        </w:rPr>
      </w:pPr>
      <w:r w:rsidRPr="00220AED">
        <w:rPr>
          <w:rFonts w:asciiTheme="minorHAnsi" w:hAnsiTheme="minorHAnsi"/>
          <w:sz w:val="22"/>
          <w:szCs w:val="22"/>
        </w:rPr>
        <w:t>Robin Albert Flannagan</w:t>
      </w:r>
    </w:p>
    <w:p w:rsidR="00347C58" w:rsidRDefault="00347C58" w:rsidP="005D607B">
      <w:pPr>
        <w:numPr>
          <w:ilvl w:val="0"/>
          <w:numId w:val="26"/>
        </w:numPr>
        <w:overflowPunct/>
        <w:autoSpaceDE/>
        <w:autoSpaceDN/>
        <w:adjustRightInd/>
        <w:spacing w:after="0"/>
        <w:ind w:left="567" w:hanging="567"/>
        <w:textAlignment w:val="auto"/>
        <w:rPr>
          <w:rFonts w:asciiTheme="minorHAnsi" w:hAnsiTheme="minorHAnsi"/>
          <w:sz w:val="22"/>
          <w:szCs w:val="22"/>
        </w:rPr>
      </w:pPr>
      <w:r w:rsidRPr="00220AED">
        <w:rPr>
          <w:rFonts w:asciiTheme="minorHAnsi" w:hAnsiTheme="minorHAnsi"/>
          <w:sz w:val="22"/>
          <w:szCs w:val="22"/>
        </w:rPr>
        <w:t>James Earl Douglas</w:t>
      </w:r>
    </w:p>
    <w:p w:rsidR="005D607B" w:rsidRPr="00220AED" w:rsidRDefault="005D607B" w:rsidP="005D607B">
      <w:pPr>
        <w:overflowPunct/>
        <w:autoSpaceDE/>
        <w:autoSpaceDN/>
        <w:adjustRightInd/>
        <w:spacing w:after="0"/>
        <w:ind w:left="567"/>
        <w:textAlignment w:val="auto"/>
        <w:rPr>
          <w:rFonts w:asciiTheme="minorHAnsi" w:hAnsiTheme="minorHAnsi"/>
          <w:sz w:val="22"/>
          <w:szCs w:val="22"/>
        </w:rPr>
      </w:pPr>
    </w:p>
    <w:p w:rsidR="00AD5116" w:rsidRPr="005D607B" w:rsidRDefault="00347C58" w:rsidP="00821D0C">
      <w:pPr>
        <w:overflowPunct/>
        <w:spacing w:after="0"/>
        <w:contextualSpacing/>
        <w:textAlignment w:val="auto"/>
        <w:rPr>
          <w:rFonts w:asciiTheme="minorHAnsi" w:hAnsiTheme="minorHAnsi" w:cs="Arial"/>
          <w:color w:val="0000FF" w:themeColor="hyperlink"/>
          <w:sz w:val="22"/>
          <w:szCs w:val="22"/>
          <w:u w:val="single"/>
        </w:rPr>
      </w:pPr>
      <w:r w:rsidRPr="00220AED">
        <w:rPr>
          <w:rFonts w:asciiTheme="minorHAnsi" w:hAnsiTheme="minorHAnsi"/>
          <w:sz w:val="22"/>
          <w:szCs w:val="22"/>
        </w:rPr>
        <w:t xml:space="preserve">The directors of the Supervisor may change from time to time without notice to you. </w:t>
      </w:r>
      <w:r w:rsidRPr="00220AED">
        <w:rPr>
          <w:rFonts w:asciiTheme="minorHAnsi" w:hAnsiTheme="minorHAnsi" w:cs="Arial"/>
          <w:color w:val="000000"/>
          <w:sz w:val="22"/>
          <w:szCs w:val="22"/>
        </w:rPr>
        <w:t xml:space="preserve">A current list of directors is available online at </w:t>
      </w:r>
      <w:hyperlink r:id="rId15" w:history="1">
        <w:r w:rsidR="00976AAE" w:rsidRPr="00304AE8">
          <w:rPr>
            <w:rStyle w:val="Hyperlink"/>
            <w:rFonts w:asciiTheme="minorHAnsi" w:hAnsiTheme="minorHAnsi" w:cs="Arial"/>
            <w:sz w:val="22"/>
            <w:szCs w:val="22"/>
          </w:rPr>
          <w:t>https://companies-register.companiesoffice.govt.nz</w:t>
        </w:r>
      </w:hyperlink>
      <w:r w:rsidR="00976AAE">
        <w:rPr>
          <w:rStyle w:val="Hyperlink"/>
          <w:rFonts w:asciiTheme="minorHAnsi" w:hAnsiTheme="minorHAnsi" w:cs="Arial"/>
          <w:sz w:val="22"/>
          <w:szCs w:val="22"/>
        </w:rPr>
        <w:t>.</w:t>
      </w:r>
      <w:r w:rsidR="005D607B">
        <w:rPr>
          <w:rStyle w:val="Hyperlink"/>
          <w:rFonts w:asciiTheme="minorHAnsi" w:hAnsiTheme="minorHAnsi" w:cs="Arial"/>
          <w:sz w:val="22"/>
          <w:szCs w:val="22"/>
        </w:rPr>
        <w:t xml:space="preserve">  </w:t>
      </w:r>
      <w:r w:rsidR="00AD5116" w:rsidRPr="008C1AED">
        <w:rPr>
          <w:rFonts w:asciiTheme="minorHAnsi" w:hAnsiTheme="minorHAnsi"/>
          <w:sz w:val="22"/>
          <w:szCs w:val="22"/>
        </w:rPr>
        <w:t>James Douglas was a director of Trust Investments Management Limited from 1 March 2013 to 5 July 2016.</w:t>
      </w:r>
    </w:p>
    <w:p w:rsidR="00347C58" w:rsidRPr="00220AED" w:rsidRDefault="00347C58" w:rsidP="00821D0C">
      <w:pPr>
        <w:overflowPunct/>
        <w:spacing w:after="0"/>
        <w:contextualSpacing/>
        <w:textAlignment w:val="auto"/>
        <w:rPr>
          <w:rFonts w:asciiTheme="minorHAnsi" w:hAnsiTheme="minorHAnsi"/>
          <w:sz w:val="22"/>
          <w:szCs w:val="22"/>
        </w:rPr>
      </w:pPr>
    </w:p>
    <w:p w:rsidR="00347C58" w:rsidRPr="00220AED" w:rsidRDefault="00150B0E" w:rsidP="00821D0C">
      <w:pPr>
        <w:overflowPunct/>
        <w:spacing w:after="0"/>
        <w:contextualSpacing/>
        <w:textAlignment w:val="auto"/>
        <w:rPr>
          <w:rFonts w:asciiTheme="minorHAnsi" w:hAnsiTheme="minorHAnsi"/>
          <w:sz w:val="22"/>
          <w:szCs w:val="22"/>
        </w:rPr>
      </w:pPr>
      <w:r w:rsidRPr="00220AED">
        <w:rPr>
          <w:rFonts w:asciiTheme="minorHAnsi" w:hAnsiTheme="minorHAnsi"/>
          <w:sz w:val="22"/>
          <w:szCs w:val="22"/>
        </w:rPr>
        <w:t xml:space="preserve">The Supervisor has been granted a licence under section 16(1) of the Financial Markets Supervisors Act 2011 to act as a supervisor in respect of debt securities, non-fund schemes, specified managed funds, superannuation schemes and KiwiSaver schemes, for a term </w:t>
      </w:r>
      <w:r w:rsidR="008D1504" w:rsidRPr="00220AED">
        <w:rPr>
          <w:rFonts w:asciiTheme="minorHAnsi" w:hAnsiTheme="minorHAnsi"/>
          <w:sz w:val="22"/>
          <w:szCs w:val="22"/>
        </w:rPr>
        <w:t>expiring</w:t>
      </w:r>
      <w:r w:rsidRPr="00220AED">
        <w:rPr>
          <w:rFonts w:asciiTheme="minorHAnsi" w:hAnsiTheme="minorHAnsi"/>
          <w:sz w:val="22"/>
          <w:szCs w:val="22"/>
        </w:rPr>
        <w:t xml:space="preserve"> on 16 March </w:t>
      </w:r>
      <w:r w:rsidR="00834341" w:rsidRPr="00997C8F">
        <w:rPr>
          <w:rFonts w:asciiTheme="minorHAnsi" w:hAnsiTheme="minorHAnsi"/>
          <w:sz w:val="22"/>
          <w:szCs w:val="22"/>
        </w:rPr>
        <w:t>2023</w:t>
      </w:r>
      <w:r w:rsidRPr="00220AED">
        <w:rPr>
          <w:rFonts w:asciiTheme="minorHAnsi" w:hAnsiTheme="minorHAnsi"/>
          <w:sz w:val="22"/>
          <w:szCs w:val="22"/>
        </w:rPr>
        <w:t xml:space="preserve">. Further details are available on the Financial Market Authority’s website </w:t>
      </w:r>
      <w:hyperlink r:id="rId16" w:history="1">
        <w:r w:rsidR="00801226" w:rsidRPr="00A51897">
          <w:rPr>
            <w:rStyle w:val="Hyperlink"/>
            <w:rFonts w:asciiTheme="minorHAnsi" w:hAnsiTheme="minorHAnsi"/>
            <w:sz w:val="22"/>
            <w:szCs w:val="22"/>
          </w:rPr>
          <w:t>www.fma.govt.nz</w:t>
        </w:r>
      </w:hyperlink>
      <w:r w:rsidRPr="00220AED">
        <w:rPr>
          <w:rFonts w:asciiTheme="minorHAnsi" w:hAnsiTheme="minorHAnsi"/>
          <w:sz w:val="22"/>
          <w:szCs w:val="22"/>
        </w:rPr>
        <w:t>.</w:t>
      </w:r>
    </w:p>
    <w:p w:rsidR="00347C58" w:rsidRPr="00220AED" w:rsidRDefault="00347C58" w:rsidP="00821D0C">
      <w:pPr>
        <w:overflowPunct/>
        <w:spacing w:after="0"/>
        <w:contextualSpacing/>
        <w:textAlignment w:val="auto"/>
        <w:rPr>
          <w:rFonts w:asciiTheme="minorHAnsi" w:hAnsiTheme="minorHAnsi"/>
          <w:sz w:val="22"/>
          <w:szCs w:val="22"/>
        </w:rPr>
      </w:pPr>
    </w:p>
    <w:p w:rsidR="00347C58" w:rsidRPr="00220AED" w:rsidRDefault="00347C58" w:rsidP="00821D0C">
      <w:pPr>
        <w:overflowPunct/>
        <w:spacing w:after="0"/>
        <w:contextualSpacing/>
        <w:textAlignment w:val="auto"/>
        <w:rPr>
          <w:rFonts w:asciiTheme="minorHAnsi" w:hAnsiTheme="minorHAnsi"/>
          <w:sz w:val="22"/>
          <w:szCs w:val="22"/>
        </w:rPr>
      </w:pPr>
      <w:r w:rsidRPr="00220AED">
        <w:rPr>
          <w:rFonts w:asciiTheme="minorHAnsi" w:hAnsiTheme="minorHAnsi"/>
          <w:sz w:val="22"/>
          <w:szCs w:val="22"/>
        </w:rPr>
        <w:t>The Supervisor was incorporated under the Companies Act 1955 in New Zealand on 7 September 1982 and was re-registered under the Companies Act 1993 on 2</w:t>
      </w:r>
      <w:r w:rsidR="00E34586" w:rsidRPr="00220AED">
        <w:rPr>
          <w:rFonts w:asciiTheme="minorHAnsi" w:hAnsiTheme="minorHAnsi"/>
          <w:sz w:val="22"/>
          <w:szCs w:val="22"/>
        </w:rPr>
        <w:t>3</w:t>
      </w:r>
      <w:r w:rsidRPr="00220AED">
        <w:rPr>
          <w:rFonts w:asciiTheme="minorHAnsi" w:hAnsiTheme="minorHAnsi"/>
          <w:sz w:val="22"/>
          <w:szCs w:val="22"/>
        </w:rPr>
        <w:t xml:space="preserve"> April 1997. </w:t>
      </w:r>
    </w:p>
    <w:p w:rsidR="00347C58" w:rsidRPr="00220AED" w:rsidRDefault="00347C58" w:rsidP="00821D0C">
      <w:pPr>
        <w:overflowPunct/>
        <w:spacing w:after="0"/>
        <w:contextualSpacing/>
        <w:textAlignment w:val="auto"/>
        <w:rPr>
          <w:rFonts w:asciiTheme="minorHAnsi" w:hAnsiTheme="minorHAnsi"/>
          <w:sz w:val="22"/>
          <w:szCs w:val="22"/>
        </w:rPr>
      </w:pPr>
    </w:p>
    <w:p w:rsidR="00150B0E" w:rsidRPr="003015C1" w:rsidRDefault="00347C58" w:rsidP="00821D0C">
      <w:pPr>
        <w:overflowPunct/>
        <w:spacing w:after="0"/>
        <w:contextualSpacing/>
        <w:textAlignment w:val="auto"/>
        <w:rPr>
          <w:rFonts w:asciiTheme="minorHAnsi" w:hAnsiTheme="minorHAnsi"/>
          <w:b/>
          <w:i/>
          <w:sz w:val="22"/>
          <w:szCs w:val="22"/>
        </w:rPr>
      </w:pPr>
      <w:r w:rsidRPr="00220AED">
        <w:rPr>
          <w:rFonts w:asciiTheme="minorHAnsi" w:hAnsiTheme="minorHAnsi"/>
          <w:sz w:val="22"/>
          <w:szCs w:val="22"/>
        </w:rPr>
        <w:t xml:space="preserve">The Supervisor’s ultimate holding company is </w:t>
      </w:r>
      <w:r w:rsidR="00D42A04">
        <w:rPr>
          <w:rFonts w:asciiTheme="minorHAnsi" w:hAnsiTheme="minorHAnsi"/>
          <w:sz w:val="22"/>
          <w:szCs w:val="22"/>
        </w:rPr>
        <w:t>Complectus Limited</w:t>
      </w:r>
      <w:r w:rsidRPr="00220AED">
        <w:rPr>
          <w:rFonts w:asciiTheme="minorHAnsi" w:hAnsiTheme="minorHAnsi"/>
          <w:sz w:val="22"/>
          <w:szCs w:val="22"/>
        </w:rPr>
        <w:t>, a company incorporated in New Zealand.</w:t>
      </w:r>
      <w:r w:rsidR="009A78AD">
        <w:rPr>
          <w:rFonts w:asciiTheme="minorHAnsi" w:hAnsiTheme="minorHAnsi"/>
          <w:sz w:val="22"/>
          <w:szCs w:val="22"/>
        </w:rPr>
        <w:t xml:space="preserve"> </w:t>
      </w:r>
    </w:p>
    <w:p w:rsidR="00B13213" w:rsidRPr="00B13213" w:rsidRDefault="00D455CD" w:rsidP="00220AED">
      <w:pPr>
        <w:pStyle w:val="Heading2"/>
      </w:pPr>
      <w:r>
        <w:t xml:space="preserve">Manager and </w:t>
      </w:r>
      <w:r w:rsidR="00B13213">
        <w:t>Supervisor indemnity</w:t>
      </w:r>
    </w:p>
    <w:p w:rsidR="00B13213" w:rsidRPr="00220AED" w:rsidRDefault="001E09A2" w:rsidP="001E09A2">
      <w:pPr>
        <w:overflowPunct/>
        <w:contextualSpacing/>
        <w:textAlignment w:val="auto"/>
        <w:rPr>
          <w:rFonts w:asciiTheme="minorHAnsi" w:hAnsiTheme="minorHAnsi"/>
          <w:sz w:val="22"/>
          <w:szCs w:val="22"/>
        </w:rPr>
      </w:pPr>
      <w:r w:rsidRPr="00220AED">
        <w:rPr>
          <w:rFonts w:asciiTheme="minorHAnsi" w:hAnsiTheme="minorHAnsi"/>
          <w:sz w:val="22"/>
          <w:szCs w:val="22"/>
        </w:rPr>
        <w:t>Under the Trust Deed and subject to the limits on permitted indemnities under the FMC</w:t>
      </w:r>
      <w:r w:rsidR="006D28A8" w:rsidRPr="00220AED">
        <w:rPr>
          <w:rFonts w:asciiTheme="minorHAnsi" w:hAnsiTheme="minorHAnsi"/>
          <w:sz w:val="22"/>
          <w:szCs w:val="22"/>
        </w:rPr>
        <w:t xml:space="preserve"> </w:t>
      </w:r>
      <w:r w:rsidRPr="00220AED">
        <w:rPr>
          <w:rFonts w:asciiTheme="minorHAnsi" w:hAnsiTheme="minorHAnsi"/>
          <w:sz w:val="22"/>
          <w:szCs w:val="22"/>
        </w:rPr>
        <w:t>A</w:t>
      </w:r>
      <w:r w:rsidR="006D28A8" w:rsidRPr="00220AED">
        <w:rPr>
          <w:rFonts w:asciiTheme="minorHAnsi" w:hAnsiTheme="minorHAnsi"/>
          <w:sz w:val="22"/>
          <w:szCs w:val="22"/>
        </w:rPr>
        <w:t>ct</w:t>
      </w:r>
      <w:r w:rsidRPr="00220AED">
        <w:rPr>
          <w:rFonts w:asciiTheme="minorHAnsi" w:hAnsiTheme="minorHAnsi"/>
          <w:sz w:val="22"/>
          <w:szCs w:val="22"/>
        </w:rPr>
        <w:t xml:space="preserve">, </w:t>
      </w:r>
      <w:r w:rsidR="00D455CD" w:rsidRPr="00220AED">
        <w:rPr>
          <w:rFonts w:asciiTheme="minorHAnsi" w:hAnsiTheme="minorHAnsi"/>
          <w:sz w:val="22"/>
          <w:szCs w:val="22"/>
        </w:rPr>
        <w:t xml:space="preserve">we and </w:t>
      </w:r>
      <w:r w:rsidRPr="00220AED">
        <w:rPr>
          <w:rFonts w:asciiTheme="minorHAnsi" w:hAnsiTheme="minorHAnsi"/>
          <w:sz w:val="22"/>
          <w:szCs w:val="22"/>
        </w:rPr>
        <w:t xml:space="preserve">the Supervisor </w:t>
      </w:r>
      <w:r w:rsidR="00D455CD" w:rsidRPr="00220AED">
        <w:rPr>
          <w:rFonts w:asciiTheme="minorHAnsi" w:hAnsiTheme="minorHAnsi"/>
          <w:sz w:val="22"/>
          <w:szCs w:val="22"/>
        </w:rPr>
        <w:t>are</w:t>
      </w:r>
      <w:r w:rsidR="00B13213" w:rsidRPr="00220AED">
        <w:rPr>
          <w:rFonts w:asciiTheme="minorHAnsi" w:hAnsiTheme="minorHAnsi"/>
          <w:sz w:val="22"/>
          <w:szCs w:val="22"/>
        </w:rPr>
        <w:t xml:space="preserve"> indemnified out of</w:t>
      </w:r>
      <w:r w:rsidRPr="00220AED">
        <w:rPr>
          <w:rFonts w:asciiTheme="minorHAnsi" w:hAnsiTheme="minorHAnsi"/>
          <w:sz w:val="22"/>
          <w:szCs w:val="22"/>
        </w:rPr>
        <w:t xml:space="preserve"> each Fund for any loss, expense or liability incurred in the execution or non-execution of </w:t>
      </w:r>
      <w:r w:rsidR="00D455CD" w:rsidRPr="00220AED">
        <w:rPr>
          <w:rFonts w:asciiTheme="minorHAnsi" w:hAnsiTheme="minorHAnsi"/>
          <w:sz w:val="22"/>
          <w:szCs w:val="22"/>
        </w:rPr>
        <w:t>our or the Supervisor’s</w:t>
      </w:r>
      <w:r w:rsidRPr="00220AED">
        <w:rPr>
          <w:rFonts w:asciiTheme="minorHAnsi" w:hAnsiTheme="minorHAnsi"/>
          <w:sz w:val="22"/>
          <w:szCs w:val="22"/>
        </w:rPr>
        <w:t xml:space="preserve"> powers </w:t>
      </w:r>
      <w:r w:rsidR="00D455CD" w:rsidRPr="00220AED">
        <w:rPr>
          <w:rFonts w:asciiTheme="minorHAnsi" w:hAnsiTheme="minorHAnsi"/>
          <w:sz w:val="22"/>
          <w:szCs w:val="22"/>
        </w:rPr>
        <w:t xml:space="preserve">(as applicable) </w:t>
      </w:r>
      <w:r w:rsidRPr="00220AED">
        <w:rPr>
          <w:rFonts w:asciiTheme="minorHAnsi" w:hAnsiTheme="minorHAnsi"/>
          <w:sz w:val="22"/>
          <w:szCs w:val="22"/>
        </w:rPr>
        <w:t xml:space="preserve">and against actions and costs for any matter done or omitted relating to a Fund, the Trust Deed or an Establishment Deed, except to the extent that any such loss, expense or liability has arisen because of </w:t>
      </w:r>
      <w:r w:rsidR="00D455CD" w:rsidRPr="00220AED">
        <w:rPr>
          <w:rFonts w:asciiTheme="minorHAnsi" w:hAnsiTheme="minorHAnsi"/>
          <w:sz w:val="22"/>
          <w:szCs w:val="22"/>
        </w:rPr>
        <w:t xml:space="preserve">our or the Supervisor’s </w:t>
      </w:r>
      <w:r w:rsidRPr="00220AED">
        <w:rPr>
          <w:rFonts w:asciiTheme="minorHAnsi" w:hAnsiTheme="minorHAnsi"/>
          <w:sz w:val="22"/>
          <w:szCs w:val="22"/>
        </w:rPr>
        <w:t>gross negligence or fraud or wilful breach</w:t>
      </w:r>
      <w:r w:rsidR="00D455CD" w:rsidRPr="00220AED">
        <w:rPr>
          <w:rFonts w:asciiTheme="minorHAnsi" w:hAnsiTheme="minorHAnsi"/>
          <w:sz w:val="22"/>
          <w:szCs w:val="22"/>
        </w:rPr>
        <w:t xml:space="preserve"> (as applicable)</w:t>
      </w:r>
      <w:r w:rsidRPr="00220AED">
        <w:rPr>
          <w:rFonts w:asciiTheme="minorHAnsi" w:hAnsiTheme="minorHAnsi"/>
          <w:sz w:val="22"/>
          <w:szCs w:val="22"/>
        </w:rPr>
        <w:t xml:space="preserve">. </w:t>
      </w:r>
    </w:p>
    <w:p w:rsidR="00B13213" w:rsidRPr="00220AED" w:rsidRDefault="00B13213" w:rsidP="001E09A2">
      <w:pPr>
        <w:overflowPunct/>
        <w:contextualSpacing/>
        <w:textAlignment w:val="auto"/>
        <w:rPr>
          <w:rFonts w:asciiTheme="minorHAnsi" w:hAnsiTheme="minorHAnsi"/>
          <w:sz w:val="22"/>
          <w:szCs w:val="22"/>
        </w:rPr>
      </w:pPr>
    </w:p>
    <w:p w:rsidR="001E09A2" w:rsidRDefault="00B13213" w:rsidP="001E09A2">
      <w:pPr>
        <w:overflowPunct/>
        <w:contextualSpacing/>
        <w:textAlignment w:val="auto"/>
        <w:rPr>
          <w:rFonts w:asciiTheme="minorHAnsi" w:hAnsiTheme="minorHAnsi"/>
          <w:sz w:val="22"/>
          <w:szCs w:val="22"/>
        </w:rPr>
      </w:pPr>
      <w:r w:rsidRPr="00220AED">
        <w:rPr>
          <w:rFonts w:asciiTheme="minorHAnsi" w:hAnsiTheme="minorHAnsi"/>
          <w:sz w:val="22"/>
          <w:szCs w:val="22"/>
        </w:rPr>
        <w:t xml:space="preserve">Under the FMC Act, </w:t>
      </w:r>
      <w:r w:rsidR="00D455CD" w:rsidRPr="00220AED">
        <w:rPr>
          <w:rFonts w:asciiTheme="minorHAnsi" w:hAnsiTheme="minorHAnsi"/>
          <w:sz w:val="22"/>
          <w:szCs w:val="22"/>
        </w:rPr>
        <w:t xml:space="preserve">our rights and </w:t>
      </w:r>
      <w:r w:rsidRPr="00220AED">
        <w:rPr>
          <w:rFonts w:asciiTheme="minorHAnsi" w:hAnsiTheme="minorHAnsi"/>
          <w:sz w:val="22"/>
          <w:szCs w:val="22"/>
        </w:rPr>
        <w:t xml:space="preserve">the Supervisor’s rights to be indemnified are only available in relation to the proper performance of </w:t>
      </w:r>
      <w:r w:rsidR="00D455CD" w:rsidRPr="00220AED">
        <w:rPr>
          <w:rFonts w:asciiTheme="minorHAnsi" w:hAnsiTheme="minorHAnsi"/>
          <w:sz w:val="22"/>
          <w:szCs w:val="22"/>
        </w:rPr>
        <w:t>our respective</w:t>
      </w:r>
      <w:r w:rsidRPr="00220AED">
        <w:rPr>
          <w:rFonts w:asciiTheme="minorHAnsi" w:hAnsiTheme="minorHAnsi"/>
          <w:sz w:val="22"/>
          <w:szCs w:val="22"/>
        </w:rPr>
        <w:t xml:space="preserve"> statutory duties under the FMC Act.</w:t>
      </w:r>
      <w:r w:rsidR="001E09A2" w:rsidRPr="00220AED">
        <w:rPr>
          <w:rFonts w:asciiTheme="minorHAnsi" w:hAnsiTheme="minorHAnsi"/>
          <w:sz w:val="22"/>
          <w:szCs w:val="22"/>
        </w:rPr>
        <w:t xml:space="preserve"> </w:t>
      </w:r>
    </w:p>
    <w:p w:rsidR="000D5233" w:rsidRPr="00220AED" w:rsidRDefault="000D5233" w:rsidP="001E09A2">
      <w:pPr>
        <w:overflowPunct/>
        <w:contextualSpacing/>
        <w:textAlignment w:val="auto"/>
        <w:rPr>
          <w:rFonts w:asciiTheme="minorHAnsi" w:hAnsiTheme="minorHAnsi"/>
          <w:sz w:val="22"/>
          <w:szCs w:val="22"/>
        </w:rPr>
      </w:pPr>
    </w:p>
    <w:p w:rsidR="00D455CD" w:rsidRDefault="00D455CD" w:rsidP="001E09A2">
      <w:pPr>
        <w:overflowPunct/>
        <w:contextualSpacing/>
        <w:textAlignment w:val="auto"/>
        <w:rPr>
          <w:rFonts w:asciiTheme="minorHAnsi" w:hAnsiTheme="minorHAnsi"/>
          <w:sz w:val="22"/>
          <w:szCs w:val="22"/>
        </w:rPr>
      </w:pPr>
      <w:r w:rsidRPr="00220AED">
        <w:rPr>
          <w:rFonts w:asciiTheme="minorHAnsi" w:hAnsiTheme="minorHAnsi"/>
          <w:sz w:val="22"/>
          <w:szCs w:val="22"/>
        </w:rPr>
        <w:t>Further information in relation to our and the Supervisor’s responsibilities and indemnities is set out in the Trust Deed.</w:t>
      </w:r>
    </w:p>
    <w:p w:rsidR="00347C58" w:rsidRPr="00220AED" w:rsidRDefault="00347C58" w:rsidP="00220AED">
      <w:pPr>
        <w:pStyle w:val="Heading2"/>
      </w:pPr>
      <w:r w:rsidRPr="00220AED">
        <w:t>Custodian</w:t>
      </w:r>
    </w:p>
    <w:p w:rsidR="00347C58" w:rsidRPr="00220AED" w:rsidRDefault="009D13C8" w:rsidP="00821D0C">
      <w:pPr>
        <w:overflowPunct/>
        <w:spacing w:after="0"/>
        <w:contextualSpacing/>
        <w:textAlignment w:val="auto"/>
        <w:rPr>
          <w:rFonts w:asciiTheme="minorHAnsi" w:hAnsiTheme="minorHAnsi"/>
          <w:sz w:val="22"/>
          <w:szCs w:val="22"/>
        </w:rPr>
      </w:pPr>
      <w:r w:rsidRPr="00220AED">
        <w:rPr>
          <w:rFonts w:asciiTheme="minorHAnsi" w:hAnsiTheme="minorHAnsi"/>
          <w:sz w:val="22"/>
          <w:szCs w:val="22"/>
        </w:rPr>
        <w:t>The Supervisor has delegated the function of holding the property of the Sustainable Australasian Share Fund and the NZ Bond Fund to Trustees Executors Limited (“</w:t>
      </w:r>
      <w:r w:rsidRPr="00220AED">
        <w:rPr>
          <w:rFonts w:asciiTheme="minorHAnsi" w:hAnsiTheme="minorHAnsi"/>
          <w:b/>
          <w:sz w:val="22"/>
          <w:szCs w:val="22"/>
        </w:rPr>
        <w:t>Custodian</w:t>
      </w:r>
      <w:r w:rsidRPr="00220AED">
        <w:rPr>
          <w:rFonts w:asciiTheme="minorHAnsi" w:hAnsiTheme="minorHAnsi"/>
          <w:sz w:val="22"/>
          <w:szCs w:val="22"/>
        </w:rPr>
        <w:t xml:space="preserve">”). </w:t>
      </w:r>
    </w:p>
    <w:p w:rsidR="00B4077D" w:rsidRPr="00220AED" w:rsidRDefault="00B4077D" w:rsidP="00821D0C">
      <w:pPr>
        <w:overflowPunct/>
        <w:spacing w:after="0"/>
        <w:contextualSpacing/>
        <w:textAlignment w:val="auto"/>
        <w:rPr>
          <w:rFonts w:asciiTheme="minorHAnsi" w:hAnsiTheme="minorHAnsi"/>
          <w:sz w:val="22"/>
          <w:szCs w:val="22"/>
        </w:rPr>
      </w:pPr>
    </w:p>
    <w:p w:rsidR="009D13C8" w:rsidRPr="00220AED" w:rsidRDefault="00B4077D" w:rsidP="00821D0C">
      <w:pPr>
        <w:overflowPunct/>
        <w:spacing w:after="0"/>
        <w:contextualSpacing/>
        <w:textAlignment w:val="auto"/>
        <w:rPr>
          <w:rFonts w:asciiTheme="minorHAnsi" w:hAnsiTheme="minorHAnsi"/>
          <w:sz w:val="22"/>
          <w:szCs w:val="22"/>
        </w:rPr>
      </w:pPr>
      <w:r w:rsidRPr="00220AED">
        <w:rPr>
          <w:rFonts w:asciiTheme="minorHAnsi" w:hAnsiTheme="minorHAnsi"/>
          <w:sz w:val="22"/>
          <w:szCs w:val="22"/>
        </w:rPr>
        <w:t>The New Zealand Guardian Trust Company Limited (acting through its nominee company TIM Nominees Limited) is custodian of the other Funds.</w:t>
      </w:r>
      <w:r w:rsidR="005D607B">
        <w:rPr>
          <w:rFonts w:asciiTheme="minorHAnsi" w:hAnsiTheme="minorHAnsi"/>
          <w:sz w:val="22"/>
          <w:szCs w:val="22"/>
        </w:rPr>
        <w:t xml:space="preserve"> </w:t>
      </w:r>
      <w:r w:rsidR="009D13C8" w:rsidRPr="00220AED">
        <w:rPr>
          <w:rFonts w:asciiTheme="minorHAnsi" w:hAnsiTheme="minorHAnsi"/>
          <w:sz w:val="22"/>
          <w:szCs w:val="22"/>
        </w:rPr>
        <w:t>As required by the FMC Act, the Supervisor and the Custodian are independent of us.</w:t>
      </w:r>
    </w:p>
    <w:p w:rsidR="00821D0C" w:rsidRPr="00220AED" w:rsidRDefault="00821D0C" w:rsidP="00220AED">
      <w:pPr>
        <w:pStyle w:val="Heading2"/>
      </w:pPr>
      <w:r w:rsidRPr="00220AED">
        <w:t>Auditor</w:t>
      </w:r>
    </w:p>
    <w:p w:rsidR="00F1521E" w:rsidRPr="00220AED" w:rsidRDefault="00821D0C" w:rsidP="00821D0C">
      <w:pPr>
        <w:overflowPunct/>
        <w:spacing w:after="0"/>
        <w:contextualSpacing/>
        <w:textAlignment w:val="auto"/>
        <w:rPr>
          <w:rFonts w:asciiTheme="minorHAnsi" w:hAnsiTheme="minorHAnsi" w:cs="Arial"/>
          <w:sz w:val="22"/>
          <w:szCs w:val="22"/>
        </w:rPr>
      </w:pPr>
      <w:r w:rsidRPr="00220AED">
        <w:rPr>
          <w:rFonts w:asciiTheme="minorHAnsi" w:hAnsiTheme="minorHAnsi" w:cs="Arial"/>
          <w:sz w:val="22"/>
          <w:szCs w:val="22"/>
        </w:rPr>
        <w:t>The Auditor of the Funds is PricewaterhouseCoopers.</w:t>
      </w:r>
      <w:r w:rsidR="005D607B">
        <w:rPr>
          <w:rFonts w:asciiTheme="minorHAnsi" w:hAnsiTheme="minorHAnsi" w:cs="Arial"/>
          <w:sz w:val="22"/>
          <w:szCs w:val="22"/>
        </w:rPr>
        <w:t xml:space="preserve"> </w:t>
      </w:r>
      <w:r w:rsidR="00F1521E" w:rsidRPr="00220AED">
        <w:rPr>
          <w:rFonts w:asciiTheme="minorHAnsi" w:hAnsiTheme="minorHAnsi" w:cs="Arial"/>
          <w:sz w:val="22"/>
          <w:szCs w:val="22"/>
        </w:rPr>
        <w:t>The Auditor is registered under the Auditor Regulation Act 2011. Other than in its capacity as auditor of the Funds</w:t>
      </w:r>
      <w:r w:rsidR="009209A6">
        <w:rPr>
          <w:rFonts w:asciiTheme="minorHAnsi" w:hAnsiTheme="minorHAnsi" w:cs="Arial"/>
          <w:sz w:val="22"/>
          <w:szCs w:val="22"/>
        </w:rPr>
        <w:t xml:space="preserve"> and </w:t>
      </w:r>
      <w:r w:rsidR="00997C8F">
        <w:rPr>
          <w:rFonts w:asciiTheme="minorHAnsi" w:hAnsiTheme="minorHAnsi" w:cs="Arial"/>
          <w:sz w:val="22"/>
          <w:szCs w:val="22"/>
        </w:rPr>
        <w:t xml:space="preserve">the </w:t>
      </w:r>
      <w:r w:rsidR="009209A6">
        <w:rPr>
          <w:rFonts w:asciiTheme="minorHAnsi" w:hAnsiTheme="minorHAnsi" w:cs="Arial"/>
          <w:sz w:val="22"/>
          <w:szCs w:val="22"/>
        </w:rPr>
        <w:t>Manager</w:t>
      </w:r>
      <w:r w:rsidR="00F1521E" w:rsidRPr="00220AED">
        <w:rPr>
          <w:rFonts w:asciiTheme="minorHAnsi" w:hAnsiTheme="minorHAnsi" w:cs="Arial"/>
          <w:sz w:val="22"/>
          <w:szCs w:val="22"/>
        </w:rPr>
        <w:t>, the Auditor has no relationship with, or interest in, the Funds.</w:t>
      </w:r>
    </w:p>
    <w:p w:rsidR="00F1521E" w:rsidRPr="00220AED" w:rsidRDefault="00F1521E" w:rsidP="00220AED">
      <w:pPr>
        <w:pStyle w:val="Heading2"/>
      </w:pPr>
      <w:r w:rsidRPr="00220AED">
        <w:t>Solicitors</w:t>
      </w:r>
    </w:p>
    <w:p w:rsidR="00F1521E" w:rsidRPr="00220AED" w:rsidRDefault="00F1521E" w:rsidP="00821D0C">
      <w:pPr>
        <w:overflowPunct/>
        <w:spacing w:after="0"/>
        <w:contextualSpacing/>
        <w:textAlignment w:val="auto"/>
        <w:rPr>
          <w:rFonts w:asciiTheme="minorHAnsi" w:hAnsiTheme="minorHAnsi" w:cs="Arial"/>
          <w:sz w:val="22"/>
          <w:szCs w:val="22"/>
        </w:rPr>
      </w:pPr>
      <w:r w:rsidRPr="00220AED">
        <w:rPr>
          <w:rFonts w:asciiTheme="minorHAnsi" w:hAnsiTheme="minorHAnsi" w:cs="Arial"/>
          <w:sz w:val="22"/>
          <w:szCs w:val="22"/>
        </w:rPr>
        <w:t xml:space="preserve">Our solicitors are </w:t>
      </w:r>
      <w:r w:rsidR="00D806E0">
        <w:rPr>
          <w:rFonts w:asciiTheme="minorHAnsi" w:hAnsiTheme="minorHAnsi" w:cs="Arial"/>
          <w:sz w:val="22"/>
          <w:szCs w:val="22"/>
        </w:rPr>
        <w:t>Chapman Tripp</w:t>
      </w:r>
      <w:r w:rsidRPr="00220AED">
        <w:rPr>
          <w:rFonts w:asciiTheme="minorHAnsi" w:hAnsiTheme="minorHAnsi" w:cs="Arial"/>
          <w:sz w:val="22"/>
          <w:szCs w:val="22"/>
        </w:rPr>
        <w:t>.</w:t>
      </w:r>
      <w:r w:rsidR="005D607B">
        <w:rPr>
          <w:rFonts w:asciiTheme="minorHAnsi" w:hAnsiTheme="minorHAnsi" w:cs="Arial"/>
          <w:sz w:val="22"/>
          <w:szCs w:val="22"/>
        </w:rPr>
        <w:t xml:space="preserve">  </w:t>
      </w:r>
      <w:r w:rsidRPr="00220AED">
        <w:rPr>
          <w:rFonts w:asciiTheme="minorHAnsi" w:hAnsiTheme="minorHAnsi" w:cs="Arial"/>
          <w:sz w:val="22"/>
          <w:szCs w:val="22"/>
        </w:rPr>
        <w:t xml:space="preserve">The Supervisor’s solicitors are </w:t>
      </w:r>
      <w:r w:rsidR="00E34586" w:rsidRPr="00220AED">
        <w:rPr>
          <w:rFonts w:asciiTheme="minorHAnsi" w:hAnsiTheme="minorHAnsi" w:cs="Arial"/>
          <w:sz w:val="22"/>
          <w:szCs w:val="22"/>
        </w:rPr>
        <w:t>Russell McVeagh</w:t>
      </w:r>
      <w:r w:rsidRPr="00220AED">
        <w:rPr>
          <w:rFonts w:asciiTheme="minorHAnsi" w:hAnsiTheme="minorHAnsi" w:cs="Arial"/>
          <w:sz w:val="22"/>
          <w:szCs w:val="22"/>
        </w:rPr>
        <w:t>.</w:t>
      </w:r>
    </w:p>
    <w:p w:rsidR="0062627D" w:rsidRDefault="0062627D">
      <w:pPr>
        <w:overflowPunct/>
        <w:autoSpaceDE/>
        <w:autoSpaceDN/>
        <w:adjustRightInd/>
        <w:spacing w:after="0"/>
        <w:jc w:val="left"/>
        <w:textAlignment w:val="auto"/>
        <w:rPr>
          <w:rFonts w:cs="Arial"/>
          <w:szCs w:val="21"/>
        </w:rPr>
      </w:pPr>
    </w:p>
    <w:p w:rsidR="00F1521E" w:rsidRDefault="00F1521E" w:rsidP="00821D0C">
      <w:pPr>
        <w:overflowPunct/>
        <w:spacing w:after="0"/>
        <w:contextualSpacing/>
        <w:textAlignment w:val="auto"/>
        <w:rPr>
          <w:rFonts w:cs="Arial"/>
          <w:szCs w:val="21"/>
        </w:rPr>
      </w:pPr>
    </w:p>
    <w:p w:rsidR="00CE5DE2" w:rsidRPr="000C7723" w:rsidRDefault="00A2731D" w:rsidP="00012AE1">
      <w:pPr>
        <w:pStyle w:val="Heading1"/>
      </w:pPr>
      <w:bookmarkStart w:id="22" w:name="_Toc34647174"/>
      <w:bookmarkStart w:id="23" w:name="_Toc34916724"/>
      <w:r>
        <w:rPr>
          <w:rFonts w:cs="Arial"/>
          <w:noProof/>
          <w:sz w:val="22"/>
          <w:szCs w:val="22"/>
        </w:rPr>
        <w:pict w14:anchorId="5C5AEDB7">
          <v:shape id="_x0000_s1038" style="position:absolute;left:0;text-align:left;margin-left:-29.05pt;margin-top:-44.65pt;width:559.5pt;height:804.6pt;rotation:180;flip:x;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r w:rsidR="00CE5DE2">
        <w:t xml:space="preserve">Additional information on </w:t>
      </w:r>
      <w:r w:rsidR="0029766C">
        <w:t xml:space="preserve">making investments and </w:t>
      </w:r>
      <w:r w:rsidR="00CE5DE2">
        <w:t>withdrawal transactions</w:t>
      </w:r>
      <w:bookmarkEnd w:id="22"/>
      <w:bookmarkEnd w:id="23"/>
      <w:r w:rsidR="00CE5DE2">
        <w:t xml:space="preserve"> </w:t>
      </w:r>
    </w:p>
    <w:p w:rsidR="0029766C" w:rsidRPr="0029766C" w:rsidRDefault="0029766C" w:rsidP="00220AED">
      <w:pPr>
        <w:pStyle w:val="Heading2"/>
      </w:pPr>
      <w:r>
        <w:t>Making investments</w:t>
      </w:r>
    </w:p>
    <w:p w:rsidR="0029766C" w:rsidRPr="00220AED" w:rsidRDefault="0029766C" w:rsidP="00CE5DE2">
      <w:pPr>
        <w:rPr>
          <w:rFonts w:asciiTheme="minorHAnsi" w:hAnsiTheme="minorHAnsi"/>
          <w:sz w:val="22"/>
          <w:szCs w:val="22"/>
        </w:rPr>
      </w:pPr>
      <w:r w:rsidRPr="00220AED">
        <w:rPr>
          <w:rFonts w:asciiTheme="minorHAnsi" w:hAnsiTheme="minorHAnsi"/>
          <w:sz w:val="22"/>
          <w:szCs w:val="22"/>
        </w:rPr>
        <w:t xml:space="preserve">The process for investing in the Funds is set out in the PDS. All application monies will be held on trust for </w:t>
      </w:r>
      <w:r w:rsidR="003063E0" w:rsidRPr="00220AED">
        <w:rPr>
          <w:rFonts w:asciiTheme="minorHAnsi" w:hAnsiTheme="minorHAnsi"/>
          <w:sz w:val="22"/>
          <w:szCs w:val="22"/>
        </w:rPr>
        <w:t>applicants</w:t>
      </w:r>
      <w:r w:rsidRPr="00220AED">
        <w:rPr>
          <w:rFonts w:asciiTheme="minorHAnsi" w:hAnsiTheme="minorHAnsi"/>
          <w:sz w:val="22"/>
          <w:szCs w:val="22"/>
        </w:rPr>
        <w:t xml:space="preserve"> until units are allotted. </w:t>
      </w:r>
    </w:p>
    <w:p w:rsidR="003063E0" w:rsidRPr="00220AED" w:rsidRDefault="003063E0" w:rsidP="00CE5DE2">
      <w:pPr>
        <w:rPr>
          <w:rFonts w:asciiTheme="minorHAnsi" w:hAnsiTheme="minorHAnsi"/>
          <w:sz w:val="22"/>
          <w:szCs w:val="22"/>
        </w:rPr>
      </w:pPr>
      <w:r w:rsidRPr="00220AED">
        <w:rPr>
          <w:rFonts w:asciiTheme="minorHAnsi" w:hAnsiTheme="minorHAnsi"/>
          <w:sz w:val="22"/>
          <w:szCs w:val="22"/>
        </w:rPr>
        <w:t>Any interest earned on application monies will be for the benefit of the relevant Fund. No interest will be paid to applicants on application monies if an application is denied in whole or in part.</w:t>
      </w:r>
    </w:p>
    <w:p w:rsidR="0029766C" w:rsidRPr="0029766C" w:rsidRDefault="0029766C" w:rsidP="00220AED">
      <w:pPr>
        <w:pStyle w:val="Heading2"/>
      </w:pPr>
      <w:r>
        <w:t>Withdrawal transactions</w:t>
      </w:r>
    </w:p>
    <w:p w:rsidR="00CE5DE2" w:rsidRPr="00220AED" w:rsidRDefault="00CE5DE2" w:rsidP="00220AED">
      <w:pPr>
        <w:spacing w:after="180"/>
        <w:rPr>
          <w:rFonts w:asciiTheme="minorHAnsi" w:hAnsiTheme="minorHAnsi"/>
          <w:sz w:val="22"/>
          <w:szCs w:val="22"/>
        </w:rPr>
      </w:pPr>
      <w:r w:rsidRPr="00220AED">
        <w:rPr>
          <w:rFonts w:asciiTheme="minorHAnsi" w:hAnsiTheme="minorHAnsi"/>
          <w:sz w:val="22"/>
          <w:szCs w:val="22"/>
        </w:rPr>
        <w:t>You may request a redemption of some or all of your units in a Fund at any time by completing a redemption request form (available from us). Once submitted, your redemption request cannot be withdrawn. For some Funds, you must give a minimum period of notice (a “</w:t>
      </w:r>
      <w:r w:rsidRPr="00220AED">
        <w:rPr>
          <w:rFonts w:asciiTheme="minorHAnsi" w:hAnsiTheme="minorHAnsi"/>
          <w:b/>
          <w:sz w:val="22"/>
          <w:szCs w:val="22"/>
        </w:rPr>
        <w:t>notice period</w:t>
      </w:r>
      <w:r w:rsidRPr="00220AED">
        <w:rPr>
          <w:rFonts w:asciiTheme="minorHAnsi" w:hAnsiTheme="minorHAnsi"/>
          <w:sz w:val="22"/>
          <w:szCs w:val="22"/>
        </w:rPr>
        <w:t>”) to allow us time to realise assets if necessary to permit your redemption. Notice periods commence on the date we receive your completed redemption request. The applicable notice periods for redemptions from the Funds are set out in the PDS.</w:t>
      </w:r>
    </w:p>
    <w:p w:rsidR="00CE5DE2" w:rsidRPr="00220AED" w:rsidRDefault="00CE5DE2" w:rsidP="00220AED">
      <w:pPr>
        <w:spacing w:after="180"/>
        <w:rPr>
          <w:rFonts w:asciiTheme="minorHAnsi" w:hAnsiTheme="minorHAnsi"/>
          <w:sz w:val="22"/>
          <w:szCs w:val="22"/>
        </w:rPr>
      </w:pPr>
      <w:r w:rsidRPr="00220AED">
        <w:rPr>
          <w:rFonts w:asciiTheme="minorHAnsi" w:hAnsiTheme="minorHAnsi"/>
          <w:sz w:val="22"/>
          <w:szCs w:val="22"/>
        </w:rPr>
        <w:t>Units in a Fund are redeemed at the unit price for that Fund, adjusted for the applicable sell spread for that Fund.</w:t>
      </w:r>
    </w:p>
    <w:p w:rsidR="00CE5DE2" w:rsidRPr="00220AED" w:rsidRDefault="00CE5DE2" w:rsidP="00220AED">
      <w:pPr>
        <w:spacing w:after="180"/>
        <w:rPr>
          <w:rFonts w:asciiTheme="minorHAnsi" w:hAnsiTheme="minorHAnsi"/>
          <w:sz w:val="22"/>
          <w:szCs w:val="22"/>
        </w:rPr>
      </w:pPr>
      <w:r w:rsidRPr="00220AED">
        <w:rPr>
          <w:rFonts w:asciiTheme="minorHAnsi" w:hAnsiTheme="minorHAnsi"/>
          <w:sz w:val="22"/>
          <w:szCs w:val="22"/>
        </w:rPr>
        <w:t xml:space="preserve">The redemption of units is effected on the date on which the unit price of the relevant Fund(s) is next calculated following the later of receipt of the redemption request and the expiry of any applicable notice period. </w:t>
      </w:r>
    </w:p>
    <w:p w:rsidR="00CE5DE2" w:rsidRPr="00220AED" w:rsidRDefault="00CE5DE2" w:rsidP="00220AED">
      <w:pPr>
        <w:spacing w:after="180"/>
        <w:rPr>
          <w:rFonts w:asciiTheme="minorHAnsi" w:hAnsiTheme="minorHAnsi"/>
          <w:i/>
          <w:sz w:val="22"/>
          <w:szCs w:val="22"/>
        </w:rPr>
      </w:pPr>
      <w:r w:rsidRPr="00220AED">
        <w:rPr>
          <w:rFonts w:asciiTheme="minorHAnsi" w:hAnsiTheme="minorHAnsi"/>
          <w:sz w:val="22"/>
          <w:szCs w:val="22"/>
        </w:rPr>
        <w:t xml:space="preserve">We may refuse a redemption request, with the agreement of the Supervisor, if we are of the opinion that it would not be practicable, or would be materially prejudicial to the interests of unitholders, for the redemption request to be processed.  We may suspend or defer redemptions as explained below.    </w:t>
      </w:r>
    </w:p>
    <w:p w:rsidR="00CE5DE2" w:rsidRPr="00220AED" w:rsidRDefault="00CE5DE2" w:rsidP="00220AED">
      <w:pPr>
        <w:spacing w:after="180"/>
        <w:rPr>
          <w:rFonts w:asciiTheme="minorHAnsi" w:hAnsiTheme="minorHAnsi"/>
          <w:b/>
          <w:i/>
          <w:sz w:val="22"/>
          <w:szCs w:val="22"/>
        </w:rPr>
      </w:pPr>
      <w:r w:rsidRPr="00220AED">
        <w:rPr>
          <w:rFonts w:asciiTheme="minorHAnsi" w:hAnsiTheme="minorHAnsi"/>
          <w:b/>
          <w:i/>
          <w:sz w:val="22"/>
          <w:szCs w:val="22"/>
        </w:rPr>
        <w:t>Suspension of redemptions</w:t>
      </w:r>
    </w:p>
    <w:p w:rsidR="00CE5DE2" w:rsidRPr="00220AED" w:rsidRDefault="00CE5DE2" w:rsidP="00220AED">
      <w:pPr>
        <w:spacing w:after="180"/>
        <w:rPr>
          <w:rFonts w:asciiTheme="minorHAnsi" w:hAnsiTheme="minorHAnsi"/>
          <w:sz w:val="22"/>
          <w:szCs w:val="22"/>
        </w:rPr>
      </w:pPr>
      <w:r w:rsidRPr="00220AED">
        <w:rPr>
          <w:rFonts w:asciiTheme="minorHAnsi" w:hAnsiTheme="minorHAnsi"/>
          <w:sz w:val="22"/>
          <w:szCs w:val="22"/>
        </w:rPr>
        <w:t xml:space="preserve">We may suspend redemptions in any of the Funds where we are, by reason of certain events (including a decision to terminate the Funds, market conditions or the nature of the investments of the Funds), of the opinion that it would not be practicable, or would be materially prejudicial to the interests of the unit holders of the Funds, to realise investments of the Funds or to borrow to permit redemption.  </w:t>
      </w:r>
      <w:r w:rsidR="008D1504" w:rsidRPr="00220AED">
        <w:rPr>
          <w:rFonts w:asciiTheme="minorHAnsi" w:hAnsiTheme="minorHAnsi"/>
          <w:sz w:val="22"/>
          <w:szCs w:val="22"/>
        </w:rPr>
        <w:t xml:space="preserve">The period of suspension will be until we give you notice that the suspension notice is cancelled or on the expiration of such period as we determine in good faith is in the best interests of unit holders (which may not exceed 3 months without the consent of the Supervisor), whichever is the earlier. </w:t>
      </w:r>
    </w:p>
    <w:p w:rsidR="00CE5DE2" w:rsidRDefault="00CE5DE2" w:rsidP="00220AED">
      <w:pPr>
        <w:spacing w:after="180"/>
        <w:rPr>
          <w:rFonts w:asciiTheme="minorHAnsi" w:hAnsiTheme="minorHAnsi"/>
          <w:sz w:val="22"/>
          <w:szCs w:val="22"/>
        </w:rPr>
      </w:pPr>
      <w:r w:rsidRPr="00220AED">
        <w:rPr>
          <w:rFonts w:asciiTheme="minorHAnsi" w:hAnsiTheme="minorHAnsi"/>
          <w:sz w:val="22"/>
          <w:szCs w:val="22"/>
        </w:rPr>
        <w:t>Redemptions are not permitted during a suspension period.  Unsatisfied redemption requests will be effected on the date the unit price for the applicable Fund is next calculated after the suspension expires or is cancelled, at the unit price for that Fund calculated on that date and adjusted for the applicable sell spread for that Fund.</w:t>
      </w:r>
    </w:p>
    <w:p w:rsidR="00CE5DE2" w:rsidRPr="00220AED" w:rsidRDefault="00CE5DE2" w:rsidP="00220AED">
      <w:pPr>
        <w:spacing w:after="180"/>
        <w:rPr>
          <w:rFonts w:asciiTheme="minorHAnsi" w:hAnsiTheme="minorHAnsi"/>
          <w:b/>
          <w:i/>
          <w:sz w:val="22"/>
          <w:szCs w:val="22"/>
        </w:rPr>
      </w:pPr>
      <w:r w:rsidRPr="00220AED">
        <w:rPr>
          <w:rFonts w:asciiTheme="minorHAnsi" w:hAnsiTheme="minorHAnsi"/>
          <w:b/>
          <w:i/>
          <w:sz w:val="22"/>
          <w:szCs w:val="22"/>
        </w:rPr>
        <w:t>Deferral of redemptions</w:t>
      </w:r>
    </w:p>
    <w:p w:rsidR="00CE5DE2" w:rsidRPr="00220AED" w:rsidRDefault="00CE5DE2" w:rsidP="00220AED">
      <w:pPr>
        <w:spacing w:after="180"/>
        <w:rPr>
          <w:rFonts w:asciiTheme="minorHAnsi" w:hAnsiTheme="minorHAnsi"/>
          <w:sz w:val="22"/>
          <w:szCs w:val="22"/>
        </w:rPr>
      </w:pPr>
      <w:r w:rsidRPr="00220AED">
        <w:rPr>
          <w:rFonts w:asciiTheme="minorHAnsi" w:hAnsiTheme="minorHAnsi"/>
          <w:sz w:val="22"/>
          <w:szCs w:val="22"/>
        </w:rPr>
        <w:t xml:space="preserve">We may also defer redemptions if, over any 21 day period, redemption requests received are of an amount which we believe could detrimentally affect the interests of other unit holders of the Funds.  The period of deferral will be until we give you notice that the deferral notice is cancelled or on the expiration of 3 months (or such other period that we determine in good faith is in the best interests of unit holders of the relevant Fund), whichever is the earlier. </w:t>
      </w:r>
    </w:p>
    <w:p w:rsidR="00CE5DE2" w:rsidRDefault="00CE5DE2" w:rsidP="00220AED">
      <w:pPr>
        <w:spacing w:after="180"/>
      </w:pPr>
      <w:r w:rsidRPr="00220AED">
        <w:rPr>
          <w:rFonts w:asciiTheme="minorHAnsi" w:hAnsiTheme="minorHAnsi"/>
          <w:sz w:val="22"/>
          <w:szCs w:val="22"/>
        </w:rPr>
        <w:t>We have a discretion to satisfy redemption requests on an equitable basis during a deferral period at the unit price for the relevant Fund, adjusted for the applicable sell spread for that Fund, on the date on which the units are redeemed. If we have not exercised our discretion to satisfy redemption requests before the expiry or cancellation of the deferral period, units will be redeemed on the date the unit price for the</w:t>
      </w:r>
      <w:r>
        <w:t xml:space="preserve"> </w:t>
      </w:r>
      <w:r w:rsidRPr="006C1DFD">
        <w:rPr>
          <w:rFonts w:asciiTheme="minorHAnsi" w:hAnsiTheme="minorHAnsi"/>
          <w:sz w:val="22"/>
          <w:szCs w:val="22"/>
        </w:rPr>
        <w:t>applicable Fund is</w:t>
      </w:r>
      <w:r>
        <w:t xml:space="preserve"> </w:t>
      </w:r>
      <w:r w:rsidRPr="00220AED">
        <w:rPr>
          <w:rFonts w:asciiTheme="minorHAnsi" w:hAnsiTheme="minorHAnsi"/>
          <w:sz w:val="22"/>
          <w:szCs w:val="22"/>
        </w:rPr>
        <w:t>next calculated after the deferral expires or is cancelled, at the unit price for that Fund calculated on that date and adjusted for the applicable sell spread for that Fund.</w:t>
      </w:r>
    </w:p>
    <w:p w:rsidR="00BF5262" w:rsidRDefault="0062627D" w:rsidP="00012AE1">
      <w:pPr>
        <w:pStyle w:val="Heading1"/>
      </w:pPr>
      <w:bookmarkStart w:id="24" w:name="_Toc34647175"/>
      <w:bookmarkStart w:id="25" w:name="_Toc34916725"/>
      <w:r>
        <w:rPr>
          <w:noProof/>
        </w:rPr>
        <mc:AlternateContent>
          <mc:Choice Requires="wps">
            <w:drawing>
              <wp:anchor distT="0" distB="0" distL="114300" distR="114300" simplePos="0" relativeHeight="251670528" behindDoc="0" locked="0" layoutInCell="1" allowOverlap="1" wp14:anchorId="300E7ACE" wp14:editId="381CC8FF">
                <wp:simplePos x="0" y="0"/>
                <wp:positionH relativeFrom="margin">
                  <wp:align>center</wp:align>
                </wp:positionH>
                <wp:positionV relativeFrom="paragraph">
                  <wp:posOffset>-631281</wp:posOffset>
                </wp:positionV>
                <wp:extent cx="7105650" cy="10218420"/>
                <wp:effectExtent l="0" t="0" r="19050" b="11430"/>
                <wp:wrapNone/>
                <wp:docPr id="1" name="Round Diagonal Corner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7105650" cy="10218420"/>
                        </a:xfrm>
                        <a:prstGeom prst="round2DiagRect">
                          <a:avLst/>
                        </a:prstGeom>
                        <a:noFill/>
                        <a:ln w="25400" cap="flat" cmpd="sng" algn="ctr">
                          <a:solidFill>
                            <a:srgbClr val="009900"/>
                          </a:solid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8171F08" id="Round Diagonal Corner Rectangle 1" o:spid="_x0000_s1026" style="position:absolute;margin-left:0;margin-top:-49.7pt;width:559.5pt;height:804.6pt;rotation:180;flip:x;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w10:wrap anchorx="margin"/>
              </v:shape>
            </w:pict>
          </mc:Fallback>
        </mc:AlternateContent>
      </w:r>
      <w:r w:rsidR="00BF5262">
        <w:t>additional information on pie tax</w:t>
      </w:r>
      <w:bookmarkEnd w:id="24"/>
      <w:bookmarkEnd w:id="25"/>
    </w:p>
    <w:p w:rsidR="00BF5262" w:rsidRDefault="00D60947" w:rsidP="00825D4A">
      <w:pPr>
        <w:spacing w:after="180"/>
        <w:rPr>
          <w:rFonts w:asciiTheme="minorHAnsi" w:hAnsiTheme="minorHAnsi"/>
          <w:sz w:val="22"/>
          <w:szCs w:val="22"/>
        </w:rPr>
      </w:pPr>
      <w:r>
        <w:rPr>
          <w:rFonts w:asciiTheme="minorHAnsi" w:hAnsiTheme="minorHAnsi"/>
          <w:sz w:val="22"/>
          <w:szCs w:val="22"/>
        </w:rPr>
        <w:t>T</w:t>
      </w:r>
      <w:r w:rsidRPr="00D60947">
        <w:rPr>
          <w:rFonts w:asciiTheme="minorHAnsi" w:hAnsiTheme="minorHAnsi"/>
          <w:sz w:val="22"/>
          <w:szCs w:val="22"/>
        </w:rPr>
        <w:t xml:space="preserve">he </w:t>
      </w:r>
      <w:r>
        <w:rPr>
          <w:rFonts w:asciiTheme="minorHAnsi" w:hAnsiTheme="minorHAnsi"/>
          <w:sz w:val="22"/>
          <w:szCs w:val="22"/>
        </w:rPr>
        <w:t xml:space="preserve">following summary of the New Zealand taxation regime as it applies to the Funds is intended as a general guide only.  The </w:t>
      </w:r>
      <w:r w:rsidR="0057387D">
        <w:rPr>
          <w:rFonts w:asciiTheme="minorHAnsi" w:hAnsiTheme="minorHAnsi"/>
          <w:sz w:val="22"/>
          <w:szCs w:val="22"/>
        </w:rPr>
        <w:t xml:space="preserve">circumstances and </w:t>
      </w:r>
      <w:r>
        <w:rPr>
          <w:rFonts w:asciiTheme="minorHAnsi" w:hAnsiTheme="minorHAnsi"/>
          <w:sz w:val="22"/>
          <w:szCs w:val="22"/>
        </w:rPr>
        <w:t>tax position of each investor is different and all investors should seek</w:t>
      </w:r>
      <w:r w:rsidR="00246DF8">
        <w:rPr>
          <w:rFonts w:asciiTheme="minorHAnsi" w:hAnsiTheme="minorHAnsi"/>
          <w:sz w:val="22"/>
          <w:szCs w:val="22"/>
        </w:rPr>
        <w:t xml:space="preserve"> their own </w:t>
      </w:r>
      <w:r>
        <w:rPr>
          <w:rFonts w:asciiTheme="minorHAnsi" w:hAnsiTheme="minorHAnsi"/>
          <w:sz w:val="22"/>
          <w:szCs w:val="22"/>
        </w:rPr>
        <w:t>independent tax advice</w:t>
      </w:r>
      <w:r w:rsidR="00246DF8">
        <w:rPr>
          <w:rFonts w:asciiTheme="minorHAnsi" w:hAnsiTheme="minorHAnsi"/>
          <w:sz w:val="22"/>
          <w:szCs w:val="22"/>
        </w:rPr>
        <w:t xml:space="preserve"> before investing</w:t>
      </w:r>
      <w:r>
        <w:rPr>
          <w:rFonts w:asciiTheme="minorHAnsi" w:hAnsiTheme="minorHAnsi"/>
          <w:sz w:val="22"/>
          <w:szCs w:val="22"/>
        </w:rPr>
        <w:t>.</w:t>
      </w:r>
    </w:p>
    <w:p w:rsidR="00D60947" w:rsidRPr="00CD1298" w:rsidRDefault="00246DF8" w:rsidP="00CD1298">
      <w:pPr>
        <w:pStyle w:val="Heading2"/>
        <w:spacing w:after="180"/>
      </w:pPr>
      <w:r w:rsidRPr="00CD1298">
        <w:t>Portfolio investment entities</w:t>
      </w:r>
    </w:p>
    <w:p w:rsidR="00246DF8" w:rsidRPr="0062627D" w:rsidRDefault="00246DF8" w:rsidP="00D60947">
      <w:pPr>
        <w:pStyle w:val="Heading2"/>
        <w:rPr>
          <w:b w:val="0"/>
          <w:color w:val="auto"/>
          <w:sz w:val="22"/>
          <w:szCs w:val="22"/>
        </w:rPr>
      </w:pPr>
      <w:r w:rsidRPr="0062627D">
        <w:rPr>
          <w:b w:val="0"/>
          <w:color w:val="auto"/>
          <w:sz w:val="22"/>
          <w:szCs w:val="22"/>
        </w:rPr>
        <w:t>Each Fund will elect to be a Portfolio Investment Entity (PIE)  for tax purposes.</w:t>
      </w:r>
    </w:p>
    <w:p w:rsidR="00246DF8" w:rsidRPr="0062627D" w:rsidRDefault="00246DF8" w:rsidP="00D60947">
      <w:pPr>
        <w:pStyle w:val="Heading2"/>
        <w:rPr>
          <w:b w:val="0"/>
          <w:color w:val="auto"/>
          <w:sz w:val="22"/>
          <w:szCs w:val="22"/>
        </w:rPr>
      </w:pPr>
    </w:p>
    <w:p w:rsidR="00F33D6D" w:rsidRPr="0062627D" w:rsidRDefault="00246DF8" w:rsidP="00D60947">
      <w:pPr>
        <w:pStyle w:val="Heading2"/>
        <w:rPr>
          <w:b w:val="0"/>
          <w:color w:val="auto"/>
          <w:sz w:val="22"/>
          <w:szCs w:val="22"/>
        </w:rPr>
      </w:pPr>
      <w:r w:rsidRPr="0062627D">
        <w:rPr>
          <w:b w:val="0"/>
          <w:color w:val="auto"/>
          <w:sz w:val="22"/>
          <w:szCs w:val="22"/>
        </w:rPr>
        <w:t xml:space="preserve">Under the PIE regime, each Fund will attribute taxable income to its investors in accordance with their interest in the Fund and, where applicable, pay </w:t>
      </w:r>
      <w:r w:rsidR="00112702" w:rsidRPr="0062627D">
        <w:rPr>
          <w:b w:val="0"/>
          <w:color w:val="auto"/>
          <w:sz w:val="22"/>
          <w:szCs w:val="22"/>
        </w:rPr>
        <w:t xml:space="preserve">PIE </w:t>
      </w:r>
      <w:r w:rsidRPr="0062627D">
        <w:rPr>
          <w:b w:val="0"/>
          <w:color w:val="auto"/>
          <w:sz w:val="22"/>
          <w:szCs w:val="22"/>
        </w:rPr>
        <w:t>tax</w:t>
      </w:r>
      <w:r w:rsidR="00095353" w:rsidRPr="0062627D">
        <w:rPr>
          <w:b w:val="0"/>
          <w:color w:val="auto"/>
          <w:sz w:val="22"/>
          <w:szCs w:val="22"/>
        </w:rPr>
        <w:t xml:space="preserve"> </w:t>
      </w:r>
      <w:r w:rsidR="00112702" w:rsidRPr="0062627D">
        <w:rPr>
          <w:b w:val="0"/>
          <w:color w:val="auto"/>
          <w:sz w:val="22"/>
          <w:szCs w:val="22"/>
        </w:rPr>
        <w:t xml:space="preserve">calculated by reference to investors’ notified </w:t>
      </w:r>
      <w:r w:rsidR="00095353" w:rsidRPr="0062627D">
        <w:rPr>
          <w:b w:val="0"/>
          <w:color w:val="auto"/>
          <w:sz w:val="22"/>
          <w:szCs w:val="22"/>
        </w:rPr>
        <w:t>Prescribed Investor Rate (PIR).</w:t>
      </w:r>
      <w:r w:rsidRPr="0062627D">
        <w:rPr>
          <w:b w:val="0"/>
          <w:color w:val="auto"/>
          <w:sz w:val="22"/>
          <w:szCs w:val="22"/>
        </w:rPr>
        <w:t xml:space="preserve"> </w:t>
      </w:r>
      <w:r w:rsidR="00112702" w:rsidRPr="0062627D">
        <w:rPr>
          <w:b w:val="0"/>
          <w:color w:val="auto"/>
          <w:sz w:val="22"/>
          <w:szCs w:val="22"/>
        </w:rPr>
        <w:t xml:space="preserve"> </w:t>
      </w:r>
      <w:r w:rsidR="00452D17" w:rsidRPr="0062627D">
        <w:rPr>
          <w:b w:val="0"/>
          <w:color w:val="auto"/>
          <w:sz w:val="22"/>
          <w:szCs w:val="22"/>
        </w:rPr>
        <w:t>Investors who have notified a correct PIR greater than zero should not have any further tax to pay in respect of their attributed income</w:t>
      </w:r>
      <w:r w:rsidR="0057387D" w:rsidRPr="0062627D">
        <w:rPr>
          <w:b w:val="0"/>
          <w:color w:val="auto"/>
          <w:sz w:val="22"/>
          <w:szCs w:val="22"/>
        </w:rPr>
        <w:t xml:space="preserve"> or on withdrawal</w:t>
      </w:r>
      <w:r w:rsidR="00452D17" w:rsidRPr="0062627D">
        <w:rPr>
          <w:b w:val="0"/>
          <w:color w:val="auto"/>
          <w:sz w:val="22"/>
          <w:szCs w:val="22"/>
        </w:rPr>
        <w:t>.  Investors with a notified PIR of 0% must account for tax on attributed taxable income from the Funds in their own tax returns.</w:t>
      </w:r>
    </w:p>
    <w:p w:rsidR="00F33D6D" w:rsidRPr="0062627D" w:rsidRDefault="00F33D6D" w:rsidP="00D60947">
      <w:pPr>
        <w:pStyle w:val="Heading2"/>
        <w:rPr>
          <w:b w:val="0"/>
          <w:color w:val="auto"/>
          <w:sz w:val="22"/>
          <w:szCs w:val="22"/>
        </w:rPr>
      </w:pPr>
    </w:p>
    <w:p w:rsidR="00452D17" w:rsidRPr="0062627D" w:rsidRDefault="00112702" w:rsidP="00F33D6D">
      <w:pPr>
        <w:pStyle w:val="Heading2"/>
        <w:rPr>
          <w:b w:val="0"/>
          <w:color w:val="auto"/>
          <w:sz w:val="22"/>
          <w:szCs w:val="22"/>
        </w:rPr>
      </w:pPr>
      <w:r w:rsidRPr="0062627D">
        <w:rPr>
          <w:b w:val="0"/>
          <w:color w:val="auto"/>
          <w:sz w:val="22"/>
          <w:szCs w:val="22"/>
        </w:rPr>
        <w:t>You must notify us of your PIR and valid IRD number when you apply to invest in a Fund.  You must also notify us if your PIR change at any time.</w:t>
      </w:r>
      <w:r w:rsidR="00657EC8" w:rsidRPr="0062627D">
        <w:rPr>
          <w:b w:val="0"/>
          <w:color w:val="auto"/>
          <w:sz w:val="22"/>
          <w:szCs w:val="22"/>
        </w:rPr>
        <w:t xml:space="preserve"> </w:t>
      </w:r>
      <w:r w:rsidR="009C478B" w:rsidRPr="0062627D">
        <w:rPr>
          <w:b w:val="0"/>
          <w:color w:val="auto"/>
          <w:sz w:val="22"/>
          <w:szCs w:val="22"/>
        </w:rPr>
        <w:t xml:space="preserve"> You will be asked to reconfirm your PIR at least once a year.</w:t>
      </w:r>
      <w:r w:rsidR="00F33D6D" w:rsidRPr="0062627D">
        <w:rPr>
          <w:b w:val="0"/>
          <w:color w:val="auto"/>
          <w:sz w:val="22"/>
          <w:szCs w:val="22"/>
        </w:rPr>
        <w:t xml:space="preserve">  </w:t>
      </w:r>
      <w:r w:rsidR="00452D17" w:rsidRPr="0062627D">
        <w:rPr>
          <w:b w:val="0"/>
          <w:color w:val="auto"/>
          <w:sz w:val="22"/>
          <w:szCs w:val="22"/>
        </w:rPr>
        <w:t>Investors who do not notify their PIR or provide a valid IRD number will be treated as having a notified PIR at the default rate of 28%.  Inland Revenue may notify us to disregard an investor’s notified PIR and apply a different rate if Inland Revenue considers the notified PIR to be incorrect.</w:t>
      </w:r>
    </w:p>
    <w:p w:rsidR="00452D17" w:rsidRPr="0062627D" w:rsidRDefault="00452D17" w:rsidP="00F33D6D">
      <w:pPr>
        <w:pStyle w:val="Heading2"/>
        <w:rPr>
          <w:b w:val="0"/>
          <w:color w:val="auto"/>
          <w:sz w:val="22"/>
          <w:szCs w:val="22"/>
        </w:rPr>
      </w:pPr>
    </w:p>
    <w:p w:rsidR="00095353" w:rsidRPr="0062627D" w:rsidRDefault="00F33D6D" w:rsidP="00D60947">
      <w:pPr>
        <w:pStyle w:val="Heading2"/>
        <w:rPr>
          <w:b w:val="0"/>
          <w:color w:val="auto"/>
          <w:sz w:val="22"/>
          <w:szCs w:val="22"/>
        </w:rPr>
      </w:pPr>
      <w:r w:rsidRPr="0062627D">
        <w:rPr>
          <w:b w:val="0"/>
          <w:color w:val="auto"/>
          <w:sz w:val="22"/>
          <w:szCs w:val="22"/>
        </w:rPr>
        <w:t>If you have notified a PIR that is lower than your correct PIR, you will be personally liable for</w:t>
      </w:r>
      <w:r w:rsidR="009C478B" w:rsidRPr="0062627D">
        <w:rPr>
          <w:b w:val="0"/>
          <w:color w:val="auto"/>
          <w:sz w:val="22"/>
          <w:szCs w:val="22"/>
        </w:rPr>
        <w:t xml:space="preserve"> any</w:t>
      </w:r>
      <w:r w:rsidRPr="0062627D">
        <w:rPr>
          <w:b w:val="0"/>
          <w:color w:val="auto"/>
          <w:sz w:val="22"/>
          <w:szCs w:val="22"/>
        </w:rPr>
        <w:t xml:space="preserve"> underpaid tax and applicable penalties and interest. If your notified PIR is higher than your correct PIR, under current law the overpa</w:t>
      </w:r>
      <w:r w:rsidR="009C478B" w:rsidRPr="0062627D">
        <w:rPr>
          <w:b w:val="0"/>
          <w:color w:val="auto"/>
          <w:sz w:val="22"/>
          <w:szCs w:val="22"/>
        </w:rPr>
        <w:t>id</w:t>
      </w:r>
      <w:r w:rsidRPr="0062627D">
        <w:rPr>
          <w:b w:val="0"/>
          <w:color w:val="auto"/>
          <w:sz w:val="22"/>
          <w:szCs w:val="22"/>
        </w:rPr>
        <w:t xml:space="preserve"> tax will not be refunded to you.  However, a legislative amendment has been proposed which, if enacted, should allow overpayments of PIE tax to be refunded with effect from the 2020-21 tax year.</w:t>
      </w:r>
    </w:p>
    <w:p w:rsidR="00104E62" w:rsidRDefault="00104E62" w:rsidP="00D60947">
      <w:pPr>
        <w:pStyle w:val="Heading2"/>
        <w:rPr>
          <w:b w:val="0"/>
          <w:sz w:val="22"/>
          <w:szCs w:val="22"/>
        </w:rPr>
      </w:pPr>
    </w:p>
    <w:p w:rsidR="00104E62" w:rsidRPr="00CD1298" w:rsidRDefault="00CD1298" w:rsidP="00CD1298">
      <w:pPr>
        <w:pStyle w:val="Heading2"/>
        <w:spacing w:after="180"/>
      </w:pPr>
      <w:r w:rsidRPr="00CD1298">
        <w:t xml:space="preserve">PIR for </w:t>
      </w:r>
      <w:r>
        <w:t>New Zealand resident</w:t>
      </w:r>
      <w:r w:rsidRPr="00CD1298">
        <w:t xml:space="preserve"> non-individual</w:t>
      </w:r>
      <w:r>
        <w:t xml:space="preserve"> </w:t>
      </w:r>
      <w:r w:rsidRPr="00CD1298">
        <w:t>investors</w:t>
      </w:r>
    </w:p>
    <w:p w:rsidR="000374EA" w:rsidRPr="0062627D" w:rsidRDefault="00CD1298" w:rsidP="00D60947">
      <w:pPr>
        <w:pStyle w:val="Heading2"/>
        <w:rPr>
          <w:b w:val="0"/>
          <w:color w:val="auto"/>
          <w:sz w:val="22"/>
          <w:szCs w:val="22"/>
        </w:rPr>
      </w:pPr>
      <w:r w:rsidRPr="0062627D">
        <w:rPr>
          <w:b w:val="0"/>
          <w:color w:val="auto"/>
          <w:sz w:val="22"/>
          <w:szCs w:val="22"/>
        </w:rPr>
        <w:t xml:space="preserve">A New Zealand </w:t>
      </w:r>
      <w:r w:rsidR="009C478B" w:rsidRPr="0062627D">
        <w:rPr>
          <w:b w:val="0"/>
          <w:color w:val="auto"/>
          <w:sz w:val="22"/>
          <w:szCs w:val="22"/>
        </w:rPr>
        <w:t xml:space="preserve">tax </w:t>
      </w:r>
      <w:r w:rsidRPr="0062627D">
        <w:rPr>
          <w:b w:val="0"/>
          <w:color w:val="auto"/>
          <w:sz w:val="22"/>
          <w:szCs w:val="22"/>
        </w:rPr>
        <w:t xml:space="preserve">resident company, unit trust, </w:t>
      </w:r>
      <w:r w:rsidR="000374EA" w:rsidRPr="0062627D">
        <w:rPr>
          <w:b w:val="0"/>
          <w:color w:val="auto"/>
          <w:sz w:val="22"/>
          <w:szCs w:val="22"/>
        </w:rPr>
        <w:t xml:space="preserve">registered </w:t>
      </w:r>
      <w:r w:rsidRPr="0062627D">
        <w:rPr>
          <w:b w:val="0"/>
          <w:color w:val="auto"/>
          <w:sz w:val="22"/>
          <w:szCs w:val="22"/>
        </w:rPr>
        <w:t>charitable entity, PIE</w:t>
      </w:r>
      <w:r w:rsidR="008D0B83" w:rsidRPr="0062627D">
        <w:rPr>
          <w:b w:val="0"/>
          <w:color w:val="auto"/>
          <w:sz w:val="22"/>
          <w:szCs w:val="22"/>
        </w:rPr>
        <w:t xml:space="preserve">, </w:t>
      </w:r>
      <w:r w:rsidRPr="0062627D">
        <w:rPr>
          <w:b w:val="0"/>
          <w:color w:val="auto"/>
          <w:sz w:val="22"/>
          <w:szCs w:val="22"/>
        </w:rPr>
        <w:t xml:space="preserve">PIE investor proxy </w:t>
      </w:r>
      <w:r w:rsidR="008D0B83" w:rsidRPr="0062627D">
        <w:rPr>
          <w:b w:val="0"/>
          <w:color w:val="auto"/>
          <w:sz w:val="22"/>
          <w:szCs w:val="22"/>
        </w:rPr>
        <w:t xml:space="preserve">and superannuation fund (unless they choose a PIR of 28% or 17.5%) </w:t>
      </w:r>
      <w:r w:rsidR="000374EA" w:rsidRPr="0062627D">
        <w:rPr>
          <w:b w:val="0"/>
          <w:color w:val="auto"/>
          <w:sz w:val="22"/>
          <w:szCs w:val="22"/>
        </w:rPr>
        <w:t xml:space="preserve">has a PIR of 0%.  </w:t>
      </w:r>
      <w:r w:rsidR="008D0B83" w:rsidRPr="0062627D">
        <w:rPr>
          <w:b w:val="0"/>
          <w:color w:val="auto"/>
          <w:sz w:val="22"/>
          <w:szCs w:val="22"/>
        </w:rPr>
        <w:t xml:space="preserve">These </w:t>
      </w:r>
      <w:r w:rsidR="00D621B7" w:rsidRPr="0062627D">
        <w:rPr>
          <w:b w:val="0"/>
          <w:color w:val="auto"/>
          <w:sz w:val="22"/>
          <w:szCs w:val="22"/>
        </w:rPr>
        <w:t xml:space="preserve">zero-rated </w:t>
      </w:r>
      <w:r w:rsidR="008D0B83" w:rsidRPr="0062627D">
        <w:rPr>
          <w:b w:val="0"/>
          <w:color w:val="auto"/>
          <w:sz w:val="22"/>
          <w:szCs w:val="22"/>
        </w:rPr>
        <w:t xml:space="preserve">investors </w:t>
      </w:r>
      <w:r w:rsidR="000374EA" w:rsidRPr="0062627D">
        <w:rPr>
          <w:b w:val="0"/>
          <w:color w:val="auto"/>
          <w:sz w:val="22"/>
          <w:szCs w:val="22"/>
        </w:rPr>
        <w:t>must include the attributed taxable income from the Fund</w:t>
      </w:r>
      <w:r w:rsidR="00D621B7" w:rsidRPr="0062627D">
        <w:rPr>
          <w:b w:val="0"/>
          <w:color w:val="auto"/>
          <w:sz w:val="22"/>
          <w:szCs w:val="22"/>
        </w:rPr>
        <w:t>s</w:t>
      </w:r>
      <w:r w:rsidR="000374EA" w:rsidRPr="0062627D">
        <w:rPr>
          <w:b w:val="0"/>
          <w:color w:val="auto"/>
          <w:sz w:val="22"/>
          <w:szCs w:val="22"/>
        </w:rPr>
        <w:t xml:space="preserve"> in their own tax returns. </w:t>
      </w:r>
    </w:p>
    <w:p w:rsidR="008D0B83" w:rsidRDefault="008D0B83" w:rsidP="00D60947">
      <w:pPr>
        <w:pStyle w:val="Heading2"/>
        <w:rPr>
          <w:b w:val="0"/>
          <w:sz w:val="22"/>
          <w:szCs w:val="22"/>
        </w:rPr>
      </w:pPr>
    </w:p>
    <w:p w:rsidR="008D0B83" w:rsidRPr="00657EC8" w:rsidRDefault="008D0B83" w:rsidP="00657EC8">
      <w:pPr>
        <w:pStyle w:val="Heading2"/>
        <w:spacing w:after="180"/>
      </w:pPr>
      <w:r w:rsidRPr="00657EC8">
        <w:t>PIR for New Zealand resident trustees</w:t>
      </w:r>
    </w:p>
    <w:p w:rsidR="008D0B83" w:rsidRPr="0062627D" w:rsidRDefault="008D0B83" w:rsidP="00D60947">
      <w:pPr>
        <w:pStyle w:val="Heading2"/>
        <w:rPr>
          <w:b w:val="0"/>
          <w:color w:val="auto"/>
          <w:sz w:val="22"/>
          <w:szCs w:val="22"/>
        </w:rPr>
      </w:pPr>
      <w:r w:rsidRPr="0062627D">
        <w:rPr>
          <w:b w:val="0"/>
          <w:color w:val="auto"/>
          <w:sz w:val="22"/>
          <w:szCs w:val="22"/>
        </w:rPr>
        <w:t xml:space="preserve">A New Zealand </w:t>
      </w:r>
      <w:r w:rsidR="009C478B" w:rsidRPr="0062627D">
        <w:rPr>
          <w:b w:val="0"/>
          <w:color w:val="auto"/>
          <w:sz w:val="22"/>
          <w:szCs w:val="22"/>
        </w:rPr>
        <w:t xml:space="preserve">tax </w:t>
      </w:r>
      <w:r w:rsidRPr="0062627D">
        <w:rPr>
          <w:b w:val="0"/>
          <w:color w:val="auto"/>
          <w:sz w:val="22"/>
          <w:szCs w:val="22"/>
        </w:rPr>
        <w:t xml:space="preserve">resident trustee </w:t>
      </w:r>
      <w:r w:rsidR="00657EC8" w:rsidRPr="0062627D">
        <w:rPr>
          <w:b w:val="0"/>
          <w:color w:val="auto"/>
          <w:sz w:val="22"/>
          <w:szCs w:val="22"/>
        </w:rPr>
        <w:t xml:space="preserve">that is not the trustee of a registered charitable entity </w:t>
      </w:r>
      <w:r w:rsidRPr="0062627D">
        <w:rPr>
          <w:b w:val="0"/>
          <w:color w:val="auto"/>
          <w:sz w:val="22"/>
          <w:szCs w:val="22"/>
        </w:rPr>
        <w:t>may choose</w:t>
      </w:r>
      <w:r w:rsidR="00AD3488" w:rsidRPr="0062627D">
        <w:rPr>
          <w:b w:val="0"/>
          <w:color w:val="auto"/>
          <w:sz w:val="22"/>
          <w:szCs w:val="22"/>
        </w:rPr>
        <w:t xml:space="preserve"> a PIR of 0%, 17.5% or </w:t>
      </w:r>
      <w:r w:rsidR="00657EC8" w:rsidRPr="0062627D">
        <w:rPr>
          <w:b w:val="0"/>
          <w:color w:val="auto"/>
          <w:sz w:val="22"/>
          <w:szCs w:val="22"/>
        </w:rPr>
        <w:t>28%.  A New Zealand resident trustee of a testamentary trust may also choose a PIR of 10.5%.  These investors must include the attributed taxable income from the Fund in their own tax returns unless they have a notified PIR of 28%.</w:t>
      </w:r>
    </w:p>
    <w:p w:rsidR="00657EC8" w:rsidRDefault="00657EC8" w:rsidP="00D60947">
      <w:pPr>
        <w:pStyle w:val="Heading2"/>
        <w:rPr>
          <w:b w:val="0"/>
          <w:sz w:val="22"/>
          <w:szCs w:val="22"/>
        </w:rPr>
      </w:pPr>
    </w:p>
    <w:p w:rsidR="00657EC8" w:rsidRPr="006E37C9" w:rsidRDefault="00657EC8" w:rsidP="006E37C9">
      <w:pPr>
        <w:pStyle w:val="Heading2"/>
        <w:spacing w:after="180"/>
      </w:pPr>
      <w:r w:rsidRPr="006E37C9">
        <w:t>PIR for New Zealand resident individuals</w:t>
      </w:r>
    </w:p>
    <w:p w:rsidR="006E37C9" w:rsidRPr="0062627D" w:rsidRDefault="00221F9B" w:rsidP="00D60947">
      <w:pPr>
        <w:pStyle w:val="Heading2"/>
        <w:rPr>
          <w:b w:val="0"/>
          <w:color w:val="auto"/>
          <w:sz w:val="22"/>
          <w:szCs w:val="22"/>
        </w:rPr>
      </w:pPr>
      <w:r w:rsidRPr="0062627D">
        <w:rPr>
          <w:b w:val="0"/>
          <w:color w:val="auto"/>
          <w:sz w:val="22"/>
          <w:szCs w:val="22"/>
        </w:rPr>
        <w:t xml:space="preserve">A New Zealand </w:t>
      </w:r>
      <w:r w:rsidR="009C478B" w:rsidRPr="0062627D">
        <w:rPr>
          <w:b w:val="0"/>
          <w:color w:val="auto"/>
          <w:sz w:val="22"/>
          <w:szCs w:val="22"/>
        </w:rPr>
        <w:t xml:space="preserve">tax </w:t>
      </w:r>
      <w:r w:rsidRPr="0062627D">
        <w:rPr>
          <w:b w:val="0"/>
          <w:color w:val="auto"/>
          <w:sz w:val="22"/>
          <w:szCs w:val="22"/>
        </w:rPr>
        <w:t>resident individual</w:t>
      </w:r>
      <w:r w:rsidR="009C478B" w:rsidRPr="0062627D">
        <w:rPr>
          <w:b w:val="0"/>
          <w:color w:val="auto"/>
          <w:sz w:val="22"/>
          <w:szCs w:val="22"/>
        </w:rPr>
        <w:t>‘s</w:t>
      </w:r>
      <w:r w:rsidR="00941FA9" w:rsidRPr="0062627D">
        <w:rPr>
          <w:b w:val="0"/>
          <w:color w:val="auto"/>
          <w:sz w:val="22"/>
          <w:szCs w:val="22"/>
        </w:rPr>
        <w:t xml:space="preserve"> PIR </w:t>
      </w:r>
      <w:r w:rsidR="009C478B" w:rsidRPr="0062627D">
        <w:rPr>
          <w:b w:val="0"/>
          <w:color w:val="auto"/>
          <w:sz w:val="22"/>
          <w:szCs w:val="22"/>
        </w:rPr>
        <w:t>is</w:t>
      </w:r>
      <w:r w:rsidR="00941FA9" w:rsidRPr="0062627D">
        <w:rPr>
          <w:b w:val="0"/>
          <w:color w:val="auto"/>
          <w:sz w:val="22"/>
          <w:szCs w:val="22"/>
        </w:rPr>
        <w:t xml:space="preserve"> determined based on their taxable income and their total income (taxable income plus net attributed PIE income) in the two immediate prior </w:t>
      </w:r>
      <w:r w:rsidR="006E37C9" w:rsidRPr="0062627D">
        <w:rPr>
          <w:b w:val="0"/>
          <w:color w:val="auto"/>
          <w:sz w:val="22"/>
          <w:szCs w:val="22"/>
        </w:rPr>
        <w:t>income years</w:t>
      </w:r>
      <w:r w:rsidR="00941FA9" w:rsidRPr="0062627D">
        <w:rPr>
          <w:b w:val="0"/>
          <w:color w:val="auto"/>
          <w:sz w:val="22"/>
          <w:szCs w:val="22"/>
        </w:rPr>
        <w:t>.</w:t>
      </w:r>
      <w:r w:rsidR="006E37C9" w:rsidRPr="0062627D">
        <w:rPr>
          <w:b w:val="0"/>
          <w:color w:val="auto"/>
          <w:sz w:val="22"/>
          <w:szCs w:val="22"/>
        </w:rPr>
        <w:t xml:space="preserve"> Broadly, </w:t>
      </w:r>
      <w:r w:rsidR="009C478B" w:rsidRPr="0062627D">
        <w:rPr>
          <w:b w:val="0"/>
          <w:color w:val="auto"/>
          <w:sz w:val="22"/>
          <w:szCs w:val="22"/>
        </w:rPr>
        <w:t>a New Zealand resident individual has a PIR of</w:t>
      </w:r>
      <w:r w:rsidR="006E37C9" w:rsidRPr="0062627D">
        <w:rPr>
          <w:b w:val="0"/>
          <w:color w:val="auto"/>
          <w:sz w:val="22"/>
          <w:szCs w:val="22"/>
        </w:rPr>
        <w:t>:</w:t>
      </w:r>
    </w:p>
    <w:p w:rsidR="006E37C9" w:rsidRDefault="006E37C9" w:rsidP="006E37C9">
      <w:pPr>
        <w:numPr>
          <w:ilvl w:val="0"/>
          <w:numId w:val="32"/>
        </w:numPr>
        <w:spacing w:after="180"/>
        <w:ind w:left="567" w:hanging="567"/>
        <w:rPr>
          <w:rFonts w:asciiTheme="minorHAnsi" w:hAnsiTheme="minorHAnsi"/>
          <w:sz w:val="22"/>
          <w:szCs w:val="22"/>
        </w:rPr>
      </w:pPr>
      <w:r w:rsidRPr="006E37C9">
        <w:rPr>
          <w:rFonts w:asciiTheme="minorHAnsi" w:hAnsiTheme="minorHAnsi"/>
          <w:sz w:val="22"/>
          <w:szCs w:val="22"/>
        </w:rPr>
        <w:t>10.5% if</w:t>
      </w:r>
      <w:r>
        <w:rPr>
          <w:rFonts w:asciiTheme="minorHAnsi" w:hAnsiTheme="minorHAnsi"/>
          <w:sz w:val="22"/>
          <w:szCs w:val="22"/>
        </w:rPr>
        <w:t xml:space="preserve"> in either of the two income years </w:t>
      </w:r>
      <w:r w:rsidR="009C478B">
        <w:rPr>
          <w:rFonts w:asciiTheme="minorHAnsi" w:hAnsiTheme="minorHAnsi"/>
          <w:sz w:val="22"/>
          <w:szCs w:val="22"/>
        </w:rPr>
        <w:t xml:space="preserve">they </w:t>
      </w:r>
      <w:r>
        <w:rPr>
          <w:rFonts w:asciiTheme="minorHAnsi" w:hAnsiTheme="minorHAnsi"/>
          <w:sz w:val="22"/>
          <w:szCs w:val="22"/>
        </w:rPr>
        <w:t>derive $14,000 or less in taxable income and $48,000 or less in taxable income plus net attributed PIE income;</w:t>
      </w:r>
    </w:p>
    <w:p w:rsidR="00221F9B" w:rsidRDefault="00452088" w:rsidP="006E37C9">
      <w:pPr>
        <w:numPr>
          <w:ilvl w:val="0"/>
          <w:numId w:val="32"/>
        </w:numPr>
        <w:spacing w:after="180"/>
        <w:ind w:left="567" w:hanging="567"/>
        <w:rPr>
          <w:rFonts w:asciiTheme="minorHAnsi" w:hAnsiTheme="minorHAnsi"/>
          <w:sz w:val="22"/>
          <w:szCs w:val="22"/>
        </w:rPr>
      </w:pPr>
      <w:r>
        <w:rPr>
          <w:rFonts w:asciiTheme="minorHAnsi" w:hAnsiTheme="minorHAnsi"/>
          <w:sz w:val="22"/>
          <w:szCs w:val="22"/>
        </w:rPr>
        <w:t>17.5% if in either of the two income years</w:t>
      </w:r>
      <w:r w:rsidR="006E37C9">
        <w:rPr>
          <w:rFonts w:asciiTheme="minorHAnsi" w:hAnsiTheme="minorHAnsi"/>
          <w:sz w:val="22"/>
          <w:szCs w:val="22"/>
        </w:rPr>
        <w:t xml:space="preserve"> </w:t>
      </w:r>
      <w:r w:rsidR="009C478B">
        <w:rPr>
          <w:rFonts w:asciiTheme="minorHAnsi" w:hAnsiTheme="minorHAnsi"/>
          <w:sz w:val="22"/>
          <w:szCs w:val="22"/>
        </w:rPr>
        <w:t xml:space="preserve">they </w:t>
      </w:r>
      <w:r>
        <w:rPr>
          <w:rFonts w:asciiTheme="minorHAnsi" w:hAnsiTheme="minorHAnsi"/>
          <w:sz w:val="22"/>
          <w:szCs w:val="22"/>
        </w:rPr>
        <w:t>derive $48,000 or less in taxable income and $70,000 or less in taxable income plus net attributed PIE income;</w:t>
      </w:r>
    </w:p>
    <w:p w:rsidR="00452088" w:rsidRPr="006E37C9" w:rsidRDefault="00452088" w:rsidP="006E37C9">
      <w:pPr>
        <w:numPr>
          <w:ilvl w:val="0"/>
          <w:numId w:val="32"/>
        </w:numPr>
        <w:spacing w:after="180"/>
        <w:ind w:left="567" w:hanging="567"/>
        <w:rPr>
          <w:rFonts w:asciiTheme="minorHAnsi" w:hAnsiTheme="minorHAnsi"/>
          <w:sz w:val="22"/>
          <w:szCs w:val="22"/>
        </w:rPr>
      </w:pPr>
      <w:r>
        <w:rPr>
          <w:rFonts w:asciiTheme="minorHAnsi" w:hAnsiTheme="minorHAnsi"/>
          <w:sz w:val="22"/>
          <w:szCs w:val="22"/>
        </w:rPr>
        <w:t xml:space="preserve">28% in all other cases (even if </w:t>
      </w:r>
      <w:r w:rsidR="009C478B">
        <w:rPr>
          <w:rFonts w:asciiTheme="minorHAnsi" w:hAnsiTheme="minorHAnsi"/>
          <w:sz w:val="22"/>
          <w:szCs w:val="22"/>
        </w:rPr>
        <w:t>their</w:t>
      </w:r>
      <w:r>
        <w:rPr>
          <w:rFonts w:asciiTheme="minorHAnsi" w:hAnsiTheme="minorHAnsi"/>
          <w:sz w:val="22"/>
          <w:szCs w:val="22"/>
        </w:rPr>
        <w:t xml:space="preserve"> marginal tax rate is higher).</w:t>
      </w:r>
    </w:p>
    <w:p w:rsidR="00657EC8" w:rsidRDefault="009C478B" w:rsidP="009C478B">
      <w:pPr>
        <w:pStyle w:val="Heading2"/>
        <w:spacing w:after="180"/>
      </w:pPr>
      <w:r w:rsidRPr="009C478B">
        <w:t>PIR for non-residents</w:t>
      </w:r>
    </w:p>
    <w:p w:rsidR="009C478B" w:rsidRPr="0062627D" w:rsidRDefault="009C478B" w:rsidP="009C478B">
      <w:pPr>
        <w:pStyle w:val="Heading2"/>
        <w:rPr>
          <w:b w:val="0"/>
          <w:color w:val="auto"/>
          <w:sz w:val="22"/>
          <w:szCs w:val="22"/>
        </w:rPr>
      </w:pPr>
      <w:r w:rsidRPr="0062627D">
        <w:rPr>
          <w:b w:val="0"/>
          <w:color w:val="auto"/>
          <w:sz w:val="22"/>
          <w:szCs w:val="22"/>
        </w:rPr>
        <w:t>An investor who is not New Zealand tax resident has a PIR of 28%</w:t>
      </w:r>
      <w:r w:rsidR="009D6967" w:rsidRPr="0062627D">
        <w:rPr>
          <w:b w:val="0"/>
          <w:color w:val="auto"/>
          <w:sz w:val="22"/>
          <w:szCs w:val="22"/>
        </w:rPr>
        <w:t>.   Funds known as “foreign investment zero rate PIEs” and “forei</w:t>
      </w:r>
      <w:r w:rsidR="00BB5CFC" w:rsidRPr="0062627D">
        <w:rPr>
          <w:b w:val="0"/>
          <w:color w:val="auto"/>
          <w:sz w:val="22"/>
          <w:szCs w:val="22"/>
        </w:rPr>
        <w:t>g</w:t>
      </w:r>
      <w:r w:rsidR="009D6967" w:rsidRPr="0062627D">
        <w:rPr>
          <w:b w:val="0"/>
          <w:color w:val="auto"/>
          <w:sz w:val="22"/>
          <w:szCs w:val="22"/>
        </w:rPr>
        <w:t>n investment variable rate PIEs” are intended to reduce taxation of foreign investors’ investments in PIEs.  We do not currently offer these types of funds as most of our investors are New Zealand investors.</w:t>
      </w:r>
      <w:r w:rsidR="00452D17" w:rsidRPr="0062627D">
        <w:rPr>
          <w:b w:val="0"/>
          <w:color w:val="auto"/>
          <w:sz w:val="22"/>
          <w:szCs w:val="22"/>
        </w:rPr>
        <w:t xml:space="preserve"> </w:t>
      </w:r>
    </w:p>
    <w:p w:rsidR="00452D17" w:rsidRDefault="00A2731D" w:rsidP="009C478B">
      <w:pPr>
        <w:pStyle w:val="Heading2"/>
        <w:rPr>
          <w:b w:val="0"/>
          <w:sz w:val="22"/>
          <w:szCs w:val="22"/>
        </w:rPr>
      </w:pPr>
      <w:r>
        <w:rPr>
          <w:rFonts w:cs="Arial"/>
          <w:b w:val="0"/>
          <w:noProof/>
          <w:sz w:val="22"/>
          <w:szCs w:val="22"/>
        </w:rPr>
        <w:pict w14:anchorId="6E8C2FA4">
          <v:shape id="_x0000_s1037" style="position:absolute;left:0;text-align:left;margin-left:-24.45pt;margin-top:-48.4pt;width:559.5pt;height:804.6pt;rotation:180;flip:x;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p>
    <w:p w:rsidR="00452D17" w:rsidRPr="00452D17" w:rsidRDefault="00452D17" w:rsidP="00452D17">
      <w:pPr>
        <w:pStyle w:val="Heading2"/>
        <w:spacing w:after="180"/>
      </w:pPr>
      <w:r w:rsidRPr="00452D17">
        <w:t xml:space="preserve">Joint investors </w:t>
      </w:r>
    </w:p>
    <w:p w:rsidR="00452D17" w:rsidRPr="0062627D" w:rsidRDefault="0057387D" w:rsidP="009C478B">
      <w:pPr>
        <w:pStyle w:val="Heading2"/>
        <w:rPr>
          <w:b w:val="0"/>
          <w:color w:val="auto"/>
          <w:sz w:val="22"/>
          <w:szCs w:val="22"/>
        </w:rPr>
      </w:pPr>
      <w:r w:rsidRPr="0062627D">
        <w:rPr>
          <w:b w:val="0"/>
          <w:color w:val="auto"/>
          <w:sz w:val="22"/>
          <w:szCs w:val="22"/>
        </w:rPr>
        <w:t>We will use the highest notified PIR in respect of joint investors. If PIRs have not been provided by all joint investors, we will apply the default rate of 28%.</w:t>
      </w:r>
      <w:r w:rsidR="00452D17" w:rsidRPr="0062627D">
        <w:rPr>
          <w:b w:val="0"/>
          <w:color w:val="auto"/>
          <w:sz w:val="22"/>
          <w:szCs w:val="22"/>
        </w:rPr>
        <w:t xml:space="preserve"> </w:t>
      </w:r>
    </w:p>
    <w:p w:rsidR="0057387D" w:rsidRDefault="0057387D" w:rsidP="009C478B">
      <w:pPr>
        <w:pStyle w:val="Heading2"/>
        <w:rPr>
          <w:b w:val="0"/>
          <w:sz w:val="22"/>
          <w:szCs w:val="22"/>
        </w:rPr>
      </w:pPr>
    </w:p>
    <w:p w:rsidR="0057387D" w:rsidRPr="00BB5CFC" w:rsidRDefault="0057387D" w:rsidP="00BB5CFC">
      <w:pPr>
        <w:pStyle w:val="Heading2"/>
        <w:spacing w:after="180"/>
      </w:pPr>
      <w:r w:rsidRPr="00BB5CFC">
        <w:t>Investments not subject to the Foreign Investment Fund (FIF) regime</w:t>
      </w:r>
    </w:p>
    <w:p w:rsidR="0057387D" w:rsidRPr="0062627D" w:rsidRDefault="00BB5CFC" w:rsidP="009C478B">
      <w:pPr>
        <w:pStyle w:val="Heading2"/>
        <w:rPr>
          <w:b w:val="0"/>
          <w:color w:val="auto"/>
          <w:sz w:val="22"/>
          <w:szCs w:val="22"/>
        </w:rPr>
      </w:pPr>
      <w:r w:rsidRPr="0062627D">
        <w:rPr>
          <w:b w:val="0"/>
          <w:color w:val="auto"/>
          <w:sz w:val="22"/>
          <w:szCs w:val="22"/>
        </w:rPr>
        <w:t xml:space="preserve">As long as a Fund remains a PIE, the Fund will not be subject to tax on any gains from the sale of shares in New Zealand resident companies or certain companies resident in Australia that are listed on the </w:t>
      </w:r>
      <w:r w:rsidR="00E912B0" w:rsidRPr="0062627D">
        <w:rPr>
          <w:b w:val="0"/>
          <w:color w:val="auto"/>
          <w:sz w:val="22"/>
          <w:szCs w:val="22"/>
        </w:rPr>
        <w:t>Australian</w:t>
      </w:r>
      <w:r w:rsidRPr="0062627D">
        <w:rPr>
          <w:b w:val="0"/>
          <w:color w:val="auto"/>
          <w:sz w:val="22"/>
          <w:szCs w:val="22"/>
        </w:rPr>
        <w:t xml:space="preserve"> Securities Exchange.  Ordinary New Zealand tax rules apply to dividends on such shares. </w:t>
      </w:r>
    </w:p>
    <w:p w:rsidR="00BB5CFC" w:rsidRDefault="00BB5CFC" w:rsidP="009C478B">
      <w:pPr>
        <w:pStyle w:val="Heading2"/>
        <w:rPr>
          <w:b w:val="0"/>
          <w:sz w:val="22"/>
          <w:szCs w:val="22"/>
        </w:rPr>
      </w:pPr>
    </w:p>
    <w:p w:rsidR="00BB5CFC" w:rsidRDefault="00BB5CFC" w:rsidP="007367CF">
      <w:pPr>
        <w:pStyle w:val="Heading2"/>
        <w:spacing w:after="180"/>
        <w:rPr>
          <w:b w:val="0"/>
          <w:sz w:val="22"/>
          <w:szCs w:val="22"/>
        </w:rPr>
      </w:pPr>
      <w:r w:rsidRPr="007367CF">
        <w:t>Investments subject to the FIF regime</w:t>
      </w:r>
    </w:p>
    <w:p w:rsidR="00BB5CFC" w:rsidRPr="0062627D" w:rsidRDefault="00BB5CFC" w:rsidP="009C478B">
      <w:pPr>
        <w:pStyle w:val="Heading2"/>
        <w:rPr>
          <w:b w:val="0"/>
          <w:color w:val="auto"/>
          <w:sz w:val="22"/>
          <w:szCs w:val="22"/>
        </w:rPr>
      </w:pPr>
      <w:r w:rsidRPr="0062627D">
        <w:rPr>
          <w:b w:val="0"/>
          <w:color w:val="auto"/>
          <w:sz w:val="22"/>
          <w:szCs w:val="22"/>
        </w:rPr>
        <w:t xml:space="preserve">Other foreign shares held by a Fund will generally be taxed under the fair dividend rate (FDR) method.  Under this method, a Fund will </w:t>
      </w:r>
      <w:r w:rsidR="007367CF" w:rsidRPr="0062627D">
        <w:rPr>
          <w:b w:val="0"/>
          <w:color w:val="auto"/>
          <w:sz w:val="22"/>
          <w:szCs w:val="22"/>
        </w:rPr>
        <w:t xml:space="preserve">be deemed to </w:t>
      </w:r>
      <w:r w:rsidRPr="0062627D">
        <w:rPr>
          <w:b w:val="0"/>
          <w:color w:val="auto"/>
          <w:sz w:val="22"/>
          <w:szCs w:val="22"/>
        </w:rPr>
        <w:t xml:space="preserve">have taxable income </w:t>
      </w:r>
      <w:r w:rsidR="007367CF" w:rsidRPr="0062627D">
        <w:rPr>
          <w:b w:val="0"/>
          <w:color w:val="auto"/>
          <w:sz w:val="22"/>
          <w:szCs w:val="22"/>
        </w:rPr>
        <w:t xml:space="preserve">in an income year </w:t>
      </w:r>
      <w:r w:rsidRPr="0062627D">
        <w:rPr>
          <w:b w:val="0"/>
          <w:color w:val="auto"/>
          <w:sz w:val="22"/>
          <w:szCs w:val="22"/>
        </w:rPr>
        <w:t>bas</w:t>
      </w:r>
      <w:r w:rsidR="007367CF" w:rsidRPr="0062627D">
        <w:rPr>
          <w:b w:val="0"/>
          <w:color w:val="auto"/>
          <w:sz w:val="22"/>
          <w:szCs w:val="22"/>
        </w:rPr>
        <w:t>e</w:t>
      </w:r>
      <w:r w:rsidRPr="0062627D">
        <w:rPr>
          <w:b w:val="0"/>
          <w:color w:val="auto"/>
          <w:sz w:val="22"/>
          <w:szCs w:val="22"/>
        </w:rPr>
        <w:t>d on 5% of the market value of the shares</w:t>
      </w:r>
      <w:r w:rsidR="007367CF" w:rsidRPr="0062627D">
        <w:rPr>
          <w:b w:val="0"/>
          <w:color w:val="auto"/>
          <w:sz w:val="22"/>
          <w:szCs w:val="22"/>
        </w:rPr>
        <w:t xml:space="preserve"> calculated on a daily basis.  Any dividends and gains from sale of the shares will not be taxed separately, but a Fund should be entitled to a credit for foreign withholding tax paid on dividends, subject to certain limits. No tax deduction may be claimed for any losses in respect of the shares.</w:t>
      </w:r>
    </w:p>
    <w:p w:rsidR="007367CF" w:rsidRDefault="007367CF" w:rsidP="009C478B">
      <w:pPr>
        <w:pStyle w:val="Heading2"/>
        <w:rPr>
          <w:b w:val="0"/>
          <w:sz w:val="22"/>
          <w:szCs w:val="22"/>
        </w:rPr>
      </w:pPr>
    </w:p>
    <w:p w:rsidR="007367CF" w:rsidRPr="007367CF" w:rsidRDefault="007367CF" w:rsidP="007367CF">
      <w:pPr>
        <w:pStyle w:val="Heading2"/>
        <w:spacing w:after="180"/>
      </w:pPr>
      <w:r w:rsidRPr="007367CF">
        <w:t>Other non-equity investments</w:t>
      </w:r>
    </w:p>
    <w:p w:rsidR="007367CF" w:rsidRPr="0062627D" w:rsidRDefault="007367CF" w:rsidP="009C478B">
      <w:pPr>
        <w:pStyle w:val="Heading2"/>
        <w:rPr>
          <w:b w:val="0"/>
          <w:color w:val="auto"/>
          <w:sz w:val="22"/>
          <w:szCs w:val="22"/>
        </w:rPr>
      </w:pPr>
      <w:r w:rsidRPr="0062627D">
        <w:rPr>
          <w:b w:val="0"/>
          <w:color w:val="auto"/>
          <w:sz w:val="22"/>
          <w:szCs w:val="22"/>
        </w:rPr>
        <w:t xml:space="preserve">Other income derived by a Fund will be subject to ordinary tax rules. </w:t>
      </w:r>
    </w:p>
    <w:p w:rsidR="007367CF" w:rsidRDefault="007367CF" w:rsidP="009C478B">
      <w:pPr>
        <w:pStyle w:val="Heading2"/>
        <w:rPr>
          <w:b w:val="0"/>
          <w:sz w:val="22"/>
          <w:szCs w:val="22"/>
        </w:rPr>
      </w:pPr>
    </w:p>
    <w:p w:rsidR="007367CF" w:rsidRPr="007367CF" w:rsidRDefault="007367CF" w:rsidP="007367CF">
      <w:pPr>
        <w:pStyle w:val="Heading2"/>
        <w:spacing w:after="180"/>
      </w:pPr>
      <w:r w:rsidRPr="007367CF">
        <w:t>PIE tax payment and timing</w:t>
      </w:r>
    </w:p>
    <w:p w:rsidR="007367CF" w:rsidRDefault="00A26217" w:rsidP="009C478B">
      <w:pPr>
        <w:pStyle w:val="Heading2"/>
        <w:rPr>
          <w:b w:val="0"/>
          <w:color w:val="auto"/>
          <w:sz w:val="22"/>
          <w:szCs w:val="22"/>
        </w:rPr>
      </w:pPr>
      <w:r w:rsidRPr="0062627D">
        <w:rPr>
          <w:b w:val="0"/>
          <w:color w:val="auto"/>
          <w:sz w:val="22"/>
          <w:szCs w:val="22"/>
        </w:rPr>
        <w:t>The Funds may pay tax in respect of investors at different rates and may receive tax credits which are only attributable to certain inve</w:t>
      </w:r>
      <w:r w:rsidR="00DD0571">
        <w:rPr>
          <w:b w:val="0"/>
          <w:color w:val="auto"/>
          <w:sz w:val="22"/>
          <w:szCs w:val="22"/>
        </w:rPr>
        <w:t>s</w:t>
      </w:r>
      <w:r w:rsidRPr="0062627D">
        <w:rPr>
          <w:b w:val="0"/>
          <w:color w:val="auto"/>
          <w:sz w:val="22"/>
          <w:szCs w:val="22"/>
        </w:rPr>
        <w:t xml:space="preserve">tors. If applicable, we may adjust the units held by investors to take account of such tax and tax credits. </w:t>
      </w:r>
    </w:p>
    <w:p w:rsidR="0062627D" w:rsidRDefault="0062627D">
      <w:pPr>
        <w:overflowPunct/>
        <w:autoSpaceDE/>
        <w:autoSpaceDN/>
        <w:adjustRightInd/>
        <w:spacing w:after="0"/>
        <w:jc w:val="left"/>
        <w:textAlignment w:val="auto"/>
        <w:rPr>
          <w:rFonts w:asciiTheme="minorHAnsi" w:hAnsiTheme="minorHAnsi"/>
          <w:sz w:val="22"/>
          <w:szCs w:val="22"/>
        </w:rPr>
      </w:pPr>
      <w:r>
        <w:rPr>
          <w:b/>
          <w:sz w:val="22"/>
          <w:szCs w:val="22"/>
        </w:rPr>
        <w:br w:type="page"/>
      </w:r>
    </w:p>
    <w:p w:rsidR="00784025" w:rsidRPr="000C7723" w:rsidRDefault="0062627D" w:rsidP="005D607B">
      <w:pPr>
        <w:pStyle w:val="Heading1"/>
      </w:pPr>
      <w:r>
        <w:rPr>
          <w:noProof/>
          <w:sz w:val="22"/>
          <w:szCs w:val="22"/>
        </w:rPr>
        <mc:AlternateContent>
          <mc:Choice Requires="wps">
            <w:drawing>
              <wp:anchor distT="0" distB="0" distL="114300" distR="114300" simplePos="0" relativeHeight="251671552" behindDoc="0" locked="0" layoutInCell="1" allowOverlap="1" wp14:anchorId="6E8C2FA4" wp14:editId="1E439C49">
                <wp:simplePos x="0" y="0"/>
                <wp:positionH relativeFrom="column">
                  <wp:posOffset>-398799</wp:posOffset>
                </wp:positionH>
                <wp:positionV relativeFrom="paragraph">
                  <wp:posOffset>-631190</wp:posOffset>
                </wp:positionV>
                <wp:extent cx="7105650" cy="10218420"/>
                <wp:effectExtent l="0" t="0" r="19050" b="11430"/>
                <wp:wrapNone/>
                <wp:docPr id="11" name="Round Diagonal Corner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7105650" cy="10218420"/>
                        </a:xfrm>
                        <a:prstGeom prst="round2DiagRect">
                          <a:avLst/>
                        </a:prstGeom>
                        <a:noFill/>
                        <a:ln w="25400" cap="flat" cmpd="sng" algn="ctr">
                          <a:solidFill>
                            <a:srgbClr val="009900"/>
                          </a:solid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E686113" id="Round Diagonal Corner Rectangle 11" o:spid="_x0000_s1026" style="position:absolute;margin-left:-31.4pt;margin-top:-49.7pt;width:559.5pt;height:804.6pt;rotation:18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mc:Fallback>
        </mc:AlternateContent>
      </w:r>
      <w:bookmarkStart w:id="26" w:name="_Toc34647177"/>
      <w:bookmarkStart w:id="27" w:name="_Toc34916726"/>
      <w:r w:rsidR="00933819">
        <w:t>Additional information on f</w:t>
      </w:r>
      <w:r w:rsidR="00784025">
        <w:t>ees and expenses</w:t>
      </w:r>
      <w:bookmarkEnd w:id="26"/>
      <w:bookmarkEnd w:id="27"/>
    </w:p>
    <w:p w:rsidR="00145C1B" w:rsidRDefault="00145C1B" w:rsidP="00220AED">
      <w:pPr>
        <w:pStyle w:val="Heading2"/>
      </w:pPr>
      <w:r>
        <w:t>Manager’s fees</w:t>
      </w:r>
    </w:p>
    <w:p w:rsidR="00145C1B" w:rsidRPr="00220AED" w:rsidRDefault="00145C1B" w:rsidP="00220AED">
      <w:pPr>
        <w:spacing w:after="180"/>
        <w:rPr>
          <w:rFonts w:asciiTheme="minorHAnsi" w:hAnsiTheme="minorHAnsi"/>
          <w:sz w:val="22"/>
          <w:szCs w:val="22"/>
        </w:rPr>
      </w:pPr>
      <w:r w:rsidRPr="00220AED">
        <w:rPr>
          <w:rFonts w:asciiTheme="minorHAnsi" w:hAnsiTheme="minorHAnsi"/>
          <w:sz w:val="22"/>
          <w:szCs w:val="22"/>
        </w:rPr>
        <w:t xml:space="preserve">We receive annual remuneration for acting as manager of each Fund. </w:t>
      </w:r>
      <w:r w:rsidR="00992E13" w:rsidRPr="00220AED">
        <w:rPr>
          <w:rFonts w:asciiTheme="minorHAnsi" w:hAnsiTheme="minorHAnsi"/>
          <w:sz w:val="22"/>
          <w:szCs w:val="22"/>
        </w:rPr>
        <w:t xml:space="preserve">Our remuneration is payable quarterly, at the same time as the distributable income of a Fund is paid </w:t>
      </w:r>
      <w:r w:rsidR="0036069C">
        <w:rPr>
          <w:rFonts w:asciiTheme="minorHAnsi" w:hAnsiTheme="minorHAnsi"/>
          <w:sz w:val="22"/>
          <w:szCs w:val="22"/>
        </w:rPr>
        <w:t xml:space="preserve">to </w:t>
      </w:r>
      <w:r w:rsidR="00992E13" w:rsidRPr="00220AED">
        <w:rPr>
          <w:rFonts w:asciiTheme="minorHAnsi" w:hAnsiTheme="minorHAnsi"/>
          <w:sz w:val="22"/>
          <w:szCs w:val="22"/>
        </w:rPr>
        <w:t>the investors in that Fund.</w:t>
      </w:r>
    </w:p>
    <w:p w:rsidR="00992E13" w:rsidRPr="00220AED" w:rsidRDefault="00992E13" w:rsidP="00220AED">
      <w:pPr>
        <w:spacing w:after="180"/>
        <w:rPr>
          <w:rFonts w:asciiTheme="minorHAnsi" w:hAnsiTheme="minorHAnsi"/>
          <w:sz w:val="22"/>
          <w:szCs w:val="22"/>
        </w:rPr>
      </w:pPr>
      <w:r w:rsidRPr="00220AED">
        <w:rPr>
          <w:rFonts w:asciiTheme="minorHAnsi" w:hAnsiTheme="minorHAnsi"/>
          <w:sz w:val="22"/>
          <w:szCs w:val="22"/>
        </w:rPr>
        <w:t xml:space="preserve">For the Property Fund, our remuneration </w:t>
      </w:r>
      <w:r w:rsidR="0036069C">
        <w:rPr>
          <w:rFonts w:asciiTheme="minorHAnsi" w:hAnsiTheme="minorHAnsi"/>
          <w:sz w:val="22"/>
          <w:szCs w:val="22"/>
        </w:rPr>
        <w:t>at the date of this document</w:t>
      </w:r>
      <w:r w:rsidR="0036069C" w:rsidRPr="00220AED">
        <w:rPr>
          <w:rFonts w:asciiTheme="minorHAnsi" w:hAnsiTheme="minorHAnsi"/>
          <w:sz w:val="22"/>
          <w:szCs w:val="22"/>
        </w:rPr>
        <w:t xml:space="preserve"> </w:t>
      </w:r>
      <w:r w:rsidRPr="00220AED">
        <w:rPr>
          <w:rFonts w:asciiTheme="minorHAnsi" w:hAnsiTheme="minorHAnsi"/>
          <w:sz w:val="22"/>
          <w:szCs w:val="22"/>
        </w:rPr>
        <w:t>comprises:</w:t>
      </w:r>
    </w:p>
    <w:p w:rsidR="00992E13" w:rsidRPr="00220AED" w:rsidRDefault="00992E13" w:rsidP="00220AED">
      <w:pPr>
        <w:numPr>
          <w:ilvl w:val="0"/>
          <w:numId w:val="32"/>
        </w:numPr>
        <w:spacing w:after="180"/>
        <w:ind w:left="567" w:hanging="567"/>
        <w:rPr>
          <w:rFonts w:asciiTheme="minorHAnsi" w:hAnsiTheme="minorHAnsi"/>
          <w:sz w:val="22"/>
          <w:szCs w:val="22"/>
        </w:rPr>
      </w:pPr>
      <w:r w:rsidRPr="00220AED">
        <w:rPr>
          <w:rFonts w:asciiTheme="minorHAnsi" w:hAnsiTheme="minorHAnsi"/>
          <w:sz w:val="22"/>
          <w:szCs w:val="22"/>
        </w:rPr>
        <w:t>Management fees:  0.55% pa of the gross asset value of the property investments plus 0.3% pa of the market value of any cash and fixed interest investments.</w:t>
      </w:r>
    </w:p>
    <w:p w:rsidR="00992E13" w:rsidRPr="00220AED" w:rsidRDefault="00992E13" w:rsidP="00220AED">
      <w:pPr>
        <w:numPr>
          <w:ilvl w:val="0"/>
          <w:numId w:val="32"/>
        </w:numPr>
        <w:spacing w:after="180"/>
        <w:ind w:left="567" w:hanging="567"/>
        <w:rPr>
          <w:rFonts w:asciiTheme="minorHAnsi" w:hAnsiTheme="minorHAnsi"/>
          <w:sz w:val="22"/>
          <w:szCs w:val="22"/>
        </w:rPr>
      </w:pPr>
      <w:r w:rsidRPr="00220AED">
        <w:rPr>
          <w:rFonts w:asciiTheme="minorHAnsi" w:hAnsiTheme="minorHAnsi"/>
          <w:sz w:val="22"/>
          <w:szCs w:val="22"/>
        </w:rPr>
        <w:t xml:space="preserve">Facilities management fees:  3% of the gross income earned by the Fund, plus a fee for negotiation of a rent review or re-leasing of any property as follows:  </w:t>
      </w:r>
    </w:p>
    <w:p w:rsidR="00992E13" w:rsidRPr="00220AED" w:rsidRDefault="00992E13" w:rsidP="00220AED">
      <w:pPr>
        <w:numPr>
          <w:ilvl w:val="1"/>
          <w:numId w:val="32"/>
        </w:numPr>
        <w:tabs>
          <w:tab w:val="left" w:pos="1134"/>
        </w:tabs>
        <w:spacing w:after="180"/>
        <w:ind w:left="1134" w:hanging="567"/>
        <w:rPr>
          <w:rFonts w:asciiTheme="minorHAnsi" w:hAnsiTheme="minorHAnsi"/>
          <w:sz w:val="22"/>
          <w:szCs w:val="22"/>
        </w:rPr>
      </w:pPr>
      <w:r w:rsidRPr="00220AED">
        <w:rPr>
          <w:rFonts w:asciiTheme="minorHAnsi" w:hAnsiTheme="minorHAnsi"/>
          <w:sz w:val="22"/>
          <w:szCs w:val="22"/>
        </w:rPr>
        <w:t>Rent reviews:  1% of the existing net annual rent plus 10% of any increase in the annual rent achieved;</w:t>
      </w:r>
    </w:p>
    <w:p w:rsidR="00992E13" w:rsidRPr="00220AED" w:rsidRDefault="00992E13" w:rsidP="00220AED">
      <w:pPr>
        <w:numPr>
          <w:ilvl w:val="1"/>
          <w:numId w:val="32"/>
        </w:numPr>
        <w:tabs>
          <w:tab w:val="left" w:pos="1134"/>
        </w:tabs>
        <w:spacing w:after="180"/>
        <w:ind w:left="1134" w:hanging="567"/>
        <w:rPr>
          <w:rFonts w:asciiTheme="minorHAnsi" w:hAnsiTheme="minorHAnsi"/>
          <w:sz w:val="22"/>
          <w:szCs w:val="22"/>
        </w:rPr>
      </w:pPr>
      <w:r w:rsidRPr="00220AED">
        <w:rPr>
          <w:rFonts w:asciiTheme="minorHAnsi" w:hAnsiTheme="minorHAnsi"/>
          <w:sz w:val="22"/>
          <w:szCs w:val="22"/>
        </w:rPr>
        <w:t xml:space="preserve">Leasing:  </w:t>
      </w:r>
      <w:r w:rsidR="00DC1623" w:rsidRPr="00220AED">
        <w:rPr>
          <w:rFonts w:asciiTheme="minorHAnsi" w:hAnsiTheme="minorHAnsi"/>
          <w:sz w:val="22"/>
          <w:szCs w:val="22"/>
        </w:rPr>
        <w:t>f</w:t>
      </w:r>
      <w:r w:rsidRPr="00220AED">
        <w:rPr>
          <w:rFonts w:asciiTheme="minorHAnsi" w:hAnsiTheme="minorHAnsi"/>
          <w:sz w:val="22"/>
          <w:szCs w:val="22"/>
        </w:rPr>
        <w:t>or leases under three years:  10% of the gross annual rental income</w:t>
      </w:r>
      <w:r w:rsidR="00DC1623" w:rsidRPr="00220AED">
        <w:rPr>
          <w:rFonts w:asciiTheme="minorHAnsi" w:hAnsiTheme="minorHAnsi"/>
          <w:sz w:val="22"/>
          <w:szCs w:val="22"/>
        </w:rPr>
        <w:t>;</w:t>
      </w:r>
      <w:r w:rsidRPr="00220AED">
        <w:rPr>
          <w:rFonts w:asciiTheme="minorHAnsi" w:hAnsiTheme="minorHAnsi"/>
          <w:sz w:val="22"/>
          <w:szCs w:val="22"/>
        </w:rPr>
        <w:t xml:space="preserve">  </w:t>
      </w:r>
      <w:r w:rsidR="00DC1623" w:rsidRPr="00220AED">
        <w:rPr>
          <w:rFonts w:asciiTheme="minorHAnsi" w:hAnsiTheme="minorHAnsi"/>
          <w:sz w:val="22"/>
          <w:szCs w:val="22"/>
        </w:rPr>
        <w:t>f</w:t>
      </w:r>
      <w:r w:rsidRPr="00220AED">
        <w:rPr>
          <w:rFonts w:asciiTheme="minorHAnsi" w:hAnsiTheme="minorHAnsi"/>
          <w:sz w:val="22"/>
          <w:szCs w:val="22"/>
        </w:rPr>
        <w:t>or leases of more than three years:  11% of the gross annual rental income plus 1% for each year in excess of three years to a maximum of 15%</w:t>
      </w:r>
      <w:r w:rsidR="00DC1623" w:rsidRPr="00220AED">
        <w:rPr>
          <w:rFonts w:asciiTheme="minorHAnsi" w:hAnsiTheme="minorHAnsi"/>
          <w:sz w:val="22"/>
          <w:szCs w:val="22"/>
        </w:rPr>
        <w:t>; and</w:t>
      </w:r>
      <w:r w:rsidRPr="00220AED">
        <w:rPr>
          <w:rFonts w:asciiTheme="minorHAnsi" w:hAnsiTheme="minorHAnsi"/>
          <w:sz w:val="22"/>
          <w:szCs w:val="22"/>
        </w:rPr>
        <w:t xml:space="preserve"> </w:t>
      </w:r>
      <w:r w:rsidR="00DC1623" w:rsidRPr="00220AED">
        <w:rPr>
          <w:rFonts w:asciiTheme="minorHAnsi" w:hAnsiTheme="minorHAnsi"/>
          <w:sz w:val="22"/>
          <w:szCs w:val="22"/>
        </w:rPr>
        <w:t>f</w:t>
      </w:r>
      <w:r w:rsidRPr="00220AED">
        <w:rPr>
          <w:rFonts w:asciiTheme="minorHAnsi" w:hAnsiTheme="minorHAnsi"/>
          <w:sz w:val="22"/>
          <w:szCs w:val="22"/>
        </w:rPr>
        <w:t>or leases with annual gross income of under $100,000, a minimum fee of two months' rental applies.</w:t>
      </w:r>
    </w:p>
    <w:p w:rsidR="00992E13" w:rsidRPr="00220AED" w:rsidRDefault="00992E13" w:rsidP="00220AED">
      <w:pPr>
        <w:numPr>
          <w:ilvl w:val="0"/>
          <w:numId w:val="32"/>
        </w:numPr>
        <w:spacing w:after="180"/>
        <w:ind w:left="567" w:hanging="567"/>
        <w:rPr>
          <w:rFonts w:asciiTheme="minorHAnsi" w:hAnsiTheme="minorHAnsi"/>
          <w:sz w:val="22"/>
          <w:szCs w:val="22"/>
        </w:rPr>
      </w:pPr>
      <w:r w:rsidRPr="00220AED">
        <w:rPr>
          <w:rFonts w:asciiTheme="minorHAnsi" w:hAnsiTheme="minorHAnsi"/>
          <w:sz w:val="22"/>
          <w:szCs w:val="22"/>
        </w:rPr>
        <w:t xml:space="preserve">Special </w:t>
      </w:r>
      <w:r w:rsidR="00E34586" w:rsidRPr="00220AED">
        <w:rPr>
          <w:rFonts w:asciiTheme="minorHAnsi" w:hAnsiTheme="minorHAnsi"/>
          <w:sz w:val="22"/>
          <w:szCs w:val="22"/>
        </w:rPr>
        <w:t>p</w:t>
      </w:r>
      <w:r w:rsidRPr="00220AED">
        <w:rPr>
          <w:rFonts w:asciiTheme="minorHAnsi" w:hAnsiTheme="minorHAnsi"/>
          <w:sz w:val="22"/>
          <w:szCs w:val="22"/>
        </w:rPr>
        <w:t xml:space="preserve">rojects </w:t>
      </w:r>
      <w:r w:rsidR="00E34586" w:rsidRPr="00220AED">
        <w:rPr>
          <w:rFonts w:asciiTheme="minorHAnsi" w:hAnsiTheme="minorHAnsi"/>
          <w:sz w:val="22"/>
          <w:szCs w:val="22"/>
        </w:rPr>
        <w:t>f</w:t>
      </w:r>
      <w:r w:rsidRPr="00220AED">
        <w:rPr>
          <w:rFonts w:asciiTheme="minorHAnsi" w:hAnsiTheme="minorHAnsi"/>
          <w:sz w:val="22"/>
          <w:szCs w:val="22"/>
        </w:rPr>
        <w:t xml:space="preserve">ees:  </w:t>
      </w:r>
      <w:r w:rsidR="00DC1623" w:rsidRPr="00220AED">
        <w:rPr>
          <w:rFonts w:asciiTheme="minorHAnsi" w:hAnsiTheme="minorHAnsi"/>
          <w:sz w:val="22"/>
          <w:szCs w:val="22"/>
        </w:rPr>
        <w:t>c</w:t>
      </w:r>
      <w:r w:rsidRPr="00220AED">
        <w:rPr>
          <w:rFonts w:asciiTheme="minorHAnsi" w:hAnsiTheme="minorHAnsi"/>
          <w:sz w:val="22"/>
          <w:szCs w:val="22"/>
        </w:rPr>
        <w:t>an be charged for special projects relating to the acquisition or sale of a property.</w:t>
      </w:r>
      <w:r w:rsidR="00F607C5" w:rsidRPr="00220AED">
        <w:rPr>
          <w:rFonts w:asciiTheme="minorHAnsi" w:hAnsiTheme="minorHAnsi"/>
          <w:sz w:val="22"/>
          <w:szCs w:val="22"/>
        </w:rPr>
        <w:t xml:space="preserve"> For example, if we find a purchaser for a property in the Property Fund and negotiate the sale of that property to that purchaser, we may charge a special projects fee similar in nature to the fee that a third party may charge the Fund if it provided the same services to the Fund. Any special projects fee must be agreed between the Manager and the Supervisor and would not be expected to be greater than the reasonable fee that a third party would charge if it provided the same services to the Fund.</w:t>
      </w:r>
    </w:p>
    <w:p w:rsidR="00992E13" w:rsidRPr="00220AED" w:rsidRDefault="005E1909" w:rsidP="00220AED">
      <w:pPr>
        <w:spacing w:after="180"/>
        <w:rPr>
          <w:rFonts w:asciiTheme="minorHAnsi" w:hAnsiTheme="minorHAnsi"/>
          <w:sz w:val="22"/>
          <w:szCs w:val="22"/>
        </w:rPr>
      </w:pPr>
      <w:r w:rsidRPr="00220AED">
        <w:rPr>
          <w:rFonts w:asciiTheme="minorHAnsi" w:hAnsiTheme="minorHAnsi"/>
          <w:sz w:val="22"/>
          <w:szCs w:val="22"/>
        </w:rPr>
        <w:t>F</w:t>
      </w:r>
      <w:r w:rsidR="00992E13" w:rsidRPr="00220AED">
        <w:rPr>
          <w:rFonts w:asciiTheme="minorHAnsi" w:hAnsiTheme="minorHAnsi"/>
          <w:sz w:val="22"/>
          <w:szCs w:val="22"/>
        </w:rPr>
        <w:t xml:space="preserve">or each of the other Funds </w:t>
      </w:r>
      <w:r w:rsidRPr="00220AED">
        <w:rPr>
          <w:rFonts w:asciiTheme="minorHAnsi" w:hAnsiTheme="minorHAnsi"/>
          <w:sz w:val="22"/>
          <w:szCs w:val="22"/>
        </w:rPr>
        <w:t xml:space="preserve">we are entitled to </w:t>
      </w:r>
      <w:r w:rsidR="00992E13" w:rsidRPr="00220AED">
        <w:rPr>
          <w:rFonts w:asciiTheme="minorHAnsi" w:hAnsiTheme="minorHAnsi"/>
          <w:sz w:val="22"/>
          <w:szCs w:val="22"/>
        </w:rPr>
        <w:t>an annual management fee based on the Current Value of the relevant Fund, as shown in the table below</w:t>
      </w:r>
      <w:r w:rsidR="00DC1623" w:rsidRPr="00220AED">
        <w:rPr>
          <w:rFonts w:asciiTheme="minorHAnsi" w:hAnsiTheme="minorHAnsi"/>
          <w:sz w:val="22"/>
          <w:szCs w:val="22"/>
        </w:rPr>
        <w:t>:</w:t>
      </w:r>
    </w:p>
    <w:tbl>
      <w:tblPr>
        <w:tblW w:w="8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0"/>
        <w:gridCol w:w="3190"/>
      </w:tblGrid>
      <w:tr w:rsidR="00F5371F">
        <w:tc>
          <w:tcPr>
            <w:tcW w:w="5500" w:type="dxa"/>
            <w:tcBorders>
              <w:top w:val="single" w:sz="4" w:space="0" w:color="auto"/>
              <w:left w:val="single" w:sz="4" w:space="0" w:color="auto"/>
              <w:bottom w:val="single" w:sz="4" w:space="0" w:color="auto"/>
              <w:right w:val="single" w:sz="4" w:space="0" w:color="auto"/>
            </w:tcBorders>
            <w:shd w:val="clear" w:color="auto" w:fill="00B050"/>
          </w:tcPr>
          <w:p w:rsidR="00992E13" w:rsidRPr="00220AED" w:rsidRDefault="00992E13" w:rsidP="00992E13">
            <w:pPr>
              <w:pStyle w:val="Heading4"/>
              <w:tabs>
                <w:tab w:val="clear" w:pos="2552"/>
                <w:tab w:val="left" w:pos="34"/>
              </w:tabs>
              <w:spacing w:before="120" w:after="120" w:line="240" w:lineRule="atLeast"/>
              <w:ind w:left="0"/>
              <w:rPr>
                <w:rFonts w:asciiTheme="minorHAnsi" w:hAnsiTheme="minorHAnsi"/>
                <w:b/>
                <w:i/>
                <w:color w:val="FFFFFF" w:themeColor="background1"/>
                <w:sz w:val="22"/>
                <w:szCs w:val="22"/>
              </w:rPr>
            </w:pPr>
            <w:r w:rsidRPr="00220AED">
              <w:rPr>
                <w:rFonts w:asciiTheme="minorHAnsi" w:hAnsiTheme="minorHAnsi"/>
                <w:b/>
                <w:color w:val="FFFFFF" w:themeColor="background1"/>
                <w:sz w:val="22"/>
                <w:szCs w:val="22"/>
              </w:rPr>
              <w:t>Fund</w:t>
            </w:r>
          </w:p>
        </w:tc>
        <w:tc>
          <w:tcPr>
            <w:tcW w:w="3190" w:type="dxa"/>
            <w:tcBorders>
              <w:top w:val="single" w:sz="4" w:space="0" w:color="auto"/>
              <w:left w:val="single" w:sz="4" w:space="0" w:color="auto"/>
              <w:bottom w:val="single" w:sz="4" w:space="0" w:color="auto"/>
              <w:right w:val="single" w:sz="4" w:space="0" w:color="auto"/>
            </w:tcBorders>
            <w:shd w:val="clear" w:color="auto" w:fill="00B050"/>
          </w:tcPr>
          <w:p w:rsidR="00992E13" w:rsidRPr="00220AED" w:rsidRDefault="000B6FD2" w:rsidP="000B6FD2">
            <w:pPr>
              <w:pStyle w:val="Heading4"/>
              <w:tabs>
                <w:tab w:val="clear" w:pos="2552"/>
                <w:tab w:val="left" w:pos="34"/>
              </w:tabs>
              <w:spacing w:before="120" w:after="120" w:line="240" w:lineRule="atLeast"/>
              <w:ind w:left="0"/>
              <w:rPr>
                <w:rFonts w:asciiTheme="minorHAnsi" w:hAnsiTheme="minorHAnsi"/>
                <w:b/>
                <w:i/>
                <w:color w:val="FFFFFF" w:themeColor="background1"/>
                <w:sz w:val="22"/>
                <w:szCs w:val="22"/>
              </w:rPr>
            </w:pPr>
            <w:r w:rsidRPr="00220AED">
              <w:rPr>
                <w:rFonts w:asciiTheme="minorHAnsi" w:hAnsiTheme="minorHAnsi"/>
                <w:b/>
                <w:color w:val="FFFFFF" w:themeColor="background1"/>
                <w:sz w:val="22"/>
                <w:szCs w:val="22"/>
              </w:rPr>
              <w:t>M</w:t>
            </w:r>
            <w:r w:rsidR="00992E13" w:rsidRPr="00220AED">
              <w:rPr>
                <w:rFonts w:asciiTheme="minorHAnsi" w:hAnsiTheme="minorHAnsi"/>
                <w:b/>
                <w:color w:val="FFFFFF" w:themeColor="background1"/>
                <w:sz w:val="22"/>
                <w:szCs w:val="22"/>
              </w:rPr>
              <w:t xml:space="preserve">anagement </w:t>
            </w:r>
            <w:r w:rsidRPr="00220AED">
              <w:rPr>
                <w:rFonts w:asciiTheme="minorHAnsi" w:hAnsiTheme="minorHAnsi"/>
                <w:b/>
                <w:color w:val="FFFFFF" w:themeColor="background1"/>
                <w:sz w:val="22"/>
                <w:szCs w:val="22"/>
              </w:rPr>
              <w:t>f</w:t>
            </w:r>
            <w:r w:rsidR="00992E13" w:rsidRPr="00220AED">
              <w:rPr>
                <w:rFonts w:asciiTheme="minorHAnsi" w:hAnsiTheme="minorHAnsi"/>
                <w:b/>
                <w:color w:val="FFFFFF" w:themeColor="background1"/>
                <w:sz w:val="22"/>
                <w:szCs w:val="22"/>
              </w:rPr>
              <w:t>ee</w:t>
            </w:r>
          </w:p>
        </w:tc>
      </w:tr>
      <w:tr w:rsidR="00F5371F">
        <w:tc>
          <w:tcPr>
            <w:tcW w:w="5500" w:type="dxa"/>
            <w:tcBorders>
              <w:top w:val="single" w:sz="4" w:space="0" w:color="auto"/>
              <w:left w:val="single" w:sz="4" w:space="0" w:color="auto"/>
              <w:bottom w:val="single" w:sz="4" w:space="0" w:color="auto"/>
              <w:right w:val="single" w:sz="4" w:space="0" w:color="auto"/>
            </w:tcBorders>
          </w:tcPr>
          <w:p w:rsidR="00992E13" w:rsidRPr="00220AED" w:rsidRDefault="00992E13" w:rsidP="00F574FD">
            <w:pPr>
              <w:pStyle w:val="Heading4"/>
              <w:tabs>
                <w:tab w:val="clear" w:pos="2552"/>
                <w:tab w:val="left" w:pos="34"/>
              </w:tabs>
              <w:spacing w:before="120" w:after="120" w:line="240" w:lineRule="atLeast"/>
              <w:ind w:left="0"/>
              <w:rPr>
                <w:rFonts w:asciiTheme="minorHAnsi" w:hAnsiTheme="minorHAnsi"/>
                <w:i/>
                <w:sz w:val="22"/>
                <w:szCs w:val="22"/>
              </w:rPr>
            </w:pPr>
            <w:r w:rsidRPr="00220AED">
              <w:rPr>
                <w:rFonts w:asciiTheme="minorHAnsi" w:hAnsiTheme="minorHAnsi"/>
                <w:sz w:val="22"/>
                <w:szCs w:val="22"/>
              </w:rPr>
              <w:t xml:space="preserve">Sustainable </w:t>
            </w:r>
            <w:r w:rsidRPr="00220AED">
              <w:rPr>
                <w:rFonts w:asciiTheme="minorHAnsi" w:hAnsiTheme="minorHAnsi"/>
                <w:color w:val="000000"/>
                <w:sz w:val="22"/>
                <w:szCs w:val="22"/>
              </w:rPr>
              <w:t>Australasian</w:t>
            </w:r>
            <w:r w:rsidRPr="00220AED">
              <w:rPr>
                <w:rFonts w:asciiTheme="minorHAnsi" w:hAnsiTheme="minorHAnsi"/>
                <w:sz w:val="22"/>
                <w:szCs w:val="22"/>
              </w:rPr>
              <w:t xml:space="preserve"> Share Fund</w:t>
            </w:r>
            <w:r w:rsidR="004F6552">
              <w:rPr>
                <w:rFonts w:asciiTheme="minorHAnsi" w:hAnsiTheme="minorHAnsi"/>
                <w:sz w:val="22"/>
                <w:szCs w:val="22"/>
              </w:rPr>
              <w:t xml:space="preserve"> *</w:t>
            </w:r>
          </w:p>
        </w:tc>
        <w:tc>
          <w:tcPr>
            <w:tcW w:w="3190" w:type="dxa"/>
            <w:tcBorders>
              <w:top w:val="single" w:sz="4" w:space="0" w:color="auto"/>
              <w:left w:val="single" w:sz="4" w:space="0" w:color="auto"/>
              <w:bottom w:val="single" w:sz="4" w:space="0" w:color="auto"/>
              <w:right w:val="single" w:sz="4" w:space="0" w:color="auto"/>
            </w:tcBorders>
          </w:tcPr>
          <w:p w:rsidR="00992E13" w:rsidRPr="00220AED" w:rsidRDefault="00992E13" w:rsidP="00C6697F">
            <w:pPr>
              <w:pStyle w:val="Heading4"/>
              <w:tabs>
                <w:tab w:val="clear" w:pos="2552"/>
                <w:tab w:val="left" w:pos="34"/>
              </w:tabs>
              <w:spacing w:before="120" w:after="120" w:line="240" w:lineRule="atLeast"/>
              <w:ind w:left="0"/>
              <w:rPr>
                <w:rFonts w:asciiTheme="minorHAnsi" w:hAnsiTheme="minorHAnsi"/>
                <w:i/>
                <w:sz w:val="22"/>
                <w:szCs w:val="22"/>
              </w:rPr>
            </w:pPr>
            <w:r w:rsidRPr="00220AED">
              <w:rPr>
                <w:rFonts w:asciiTheme="minorHAnsi" w:hAnsiTheme="minorHAnsi"/>
                <w:sz w:val="22"/>
                <w:szCs w:val="22"/>
              </w:rPr>
              <w:t>0.</w:t>
            </w:r>
            <w:r w:rsidR="00C6697F">
              <w:rPr>
                <w:rFonts w:asciiTheme="minorHAnsi" w:hAnsiTheme="minorHAnsi"/>
                <w:sz w:val="22"/>
                <w:szCs w:val="22"/>
              </w:rPr>
              <w:t>10</w:t>
            </w:r>
            <w:r w:rsidR="000B6FD2" w:rsidRPr="00220AED">
              <w:rPr>
                <w:rFonts w:asciiTheme="minorHAnsi" w:hAnsiTheme="minorHAnsi"/>
                <w:sz w:val="22"/>
                <w:szCs w:val="22"/>
              </w:rPr>
              <w:t>%</w:t>
            </w:r>
            <w:r w:rsidRPr="00220AED">
              <w:rPr>
                <w:rFonts w:asciiTheme="minorHAnsi" w:hAnsiTheme="minorHAnsi"/>
                <w:sz w:val="22"/>
                <w:szCs w:val="22"/>
              </w:rPr>
              <w:t xml:space="preserve"> </w:t>
            </w:r>
          </w:p>
        </w:tc>
      </w:tr>
      <w:tr w:rsidR="00F5371F">
        <w:tc>
          <w:tcPr>
            <w:tcW w:w="5500" w:type="dxa"/>
            <w:tcBorders>
              <w:top w:val="single" w:sz="4" w:space="0" w:color="auto"/>
              <w:left w:val="single" w:sz="4" w:space="0" w:color="auto"/>
              <w:bottom w:val="single" w:sz="4" w:space="0" w:color="auto"/>
              <w:right w:val="single" w:sz="4" w:space="0" w:color="auto"/>
            </w:tcBorders>
          </w:tcPr>
          <w:p w:rsidR="00992E13" w:rsidRPr="00220AED" w:rsidRDefault="00992E13" w:rsidP="00F574FD">
            <w:pPr>
              <w:pStyle w:val="Heading4"/>
              <w:tabs>
                <w:tab w:val="clear" w:pos="2552"/>
                <w:tab w:val="left" w:pos="34"/>
              </w:tabs>
              <w:spacing w:before="120" w:after="120" w:line="240" w:lineRule="atLeast"/>
              <w:ind w:left="0"/>
              <w:rPr>
                <w:rFonts w:asciiTheme="minorHAnsi" w:hAnsiTheme="minorHAnsi"/>
                <w:i/>
                <w:sz w:val="22"/>
                <w:szCs w:val="22"/>
              </w:rPr>
            </w:pPr>
            <w:r w:rsidRPr="00220AED">
              <w:rPr>
                <w:rFonts w:asciiTheme="minorHAnsi" w:hAnsiTheme="minorHAnsi"/>
                <w:sz w:val="22"/>
                <w:szCs w:val="22"/>
              </w:rPr>
              <w:t>NZ Bond Fund</w:t>
            </w:r>
          </w:p>
        </w:tc>
        <w:tc>
          <w:tcPr>
            <w:tcW w:w="3190" w:type="dxa"/>
            <w:tcBorders>
              <w:top w:val="single" w:sz="4" w:space="0" w:color="auto"/>
              <w:left w:val="single" w:sz="4" w:space="0" w:color="auto"/>
              <w:bottom w:val="single" w:sz="4" w:space="0" w:color="auto"/>
              <w:right w:val="single" w:sz="4" w:space="0" w:color="auto"/>
            </w:tcBorders>
          </w:tcPr>
          <w:p w:rsidR="00992E13" w:rsidRPr="00220AED" w:rsidRDefault="00992E13" w:rsidP="00992E13">
            <w:pPr>
              <w:pStyle w:val="Heading4"/>
              <w:tabs>
                <w:tab w:val="clear" w:pos="2552"/>
                <w:tab w:val="left" w:pos="34"/>
              </w:tabs>
              <w:spacing w:before="120" w:after="120" w:line="240" w:lineRule="atLeast"/>
              <w:ind w:left="0"/>
              <w:rPr>
                <w:rFonts w:asciiTheme="minorHAnsi" w:hAnsiTheme="minorHAnsi"/>
                <w:i/>
                <w:sz w:val="22"/>
                <w:szCs w:val="22"/>
              </w:rPr>
            </w:pPr>
            <w:r w:rsidRPr="00220AED">
              <w:rPr>
                <w:rFonts w:asciiTheme="minorHAnsi" w:hAnsiTheme="minorHAnsi"/>
                <w:sz w:val="22"/>
                <w:szCs w:val="22"/>
              </w:rPr>
              <w:t>0.</w:t>
            </w:r>
            <w:r w:rsidR="00BB2083">
              <w:rPr>
                <w:rFonts w:asciiTheme="minorHAnsi" w:hAnsiTheme="minorHAnsi"/>
                <w:sz w:val="22"/>
                <w:szCs w:val="22"/>
              </w:rPr>
              <w:t>30</w:t>
            </w:r>
            <w:r w:rsidRPr="00220AED">
              <w:rPr>
                <w:rFonts w:asciiTheme="minorHAnsi" w:hAnsiTheme="minorHAnsi"/>
                <w:sz w:val="22"/>
                <w:szCs w:val="22"/>
              </w:rPr>
              <w:t>%</w:t>
            </w:r>
          </w:p>
        </w:tc>
      </w:tr>
      <w:tr w:rsidR="00F5371F">
        <w:tc>
          <w:tcPr>
            <w:tcW w:w="5500" w:type="dxa"/>
            <w:tcBorders>
              <w:top w:val="single" w:sz="4" w:space="0" w:color="auto"/>
              <w:left w:val="single" w:sz="4" w:space="0" w:color="auto"/>
              <w:bottom w:val="single" w:sz="4" w:space="0" w:color="auto"/>
              <w:right w:val="single" w:sz="4" w:space="0" w:color="auto"/>
            </w:tcBorders>
          </w:tcPr>
          <w:p w:rsidR="00992E13" w:rsidRPr="00220AED" w:rsidRDefault="00992E13" w:rsidP="00F574FD">
            <w:pPr>
              <w:pStyle w:val="Heading4"/>
              <w:tabs>
                <w:tab w:val="clear" w:pos="2552"/>
                <w:tab w:val="left" w:pos="34"/>
              </w:tabs>
              <w:spacing w:before="120" w:after="120" w:line="240" w:lineRule="atLeast"/>
              <w:ind w:left="0"/>
              <w:rPr>
                <w:rFonts w:asciiTheme="minorHAnsi" w:hAnsiTheme="minorHAnsi"/>
                <w:i/>
                <w:sz w:val="22"/>
                <w:szCs w:val="22"/>
              </w:rPr>
            </w:pPr>
            <w:r w:rsidRPr="00220AED">
              <w:rPr>
                <w:rFonts w:asciiTheme="minorHAnsi" w:hAnsiTheme="minorHAnsi"/>
                <w:sz w:val="22"/>
                <w:szCs w:val="22"/>
              </w:rPr>
              <w:t>International Share Fund</w:t>
            </w:r>
          </w:p>
        </w:tc>
        <w:tc>
          <w:tcPr>
            <w:tcW w:w="3190" w:type="dxa"/>
            <w:tcBorders>
              <w:top w:val="single" w:sz="4" w:space="0" w:color="auto"/>
              <w:left w:val="single" w:sz="4" w:space="0" w:color="auto"/>
              <w:bottom w:val="single" w:sz="4" w:space="0" w:color="auto"/>
              <w:right w:val="single" w:sz="4" w:space="0" w:color="auto"/>
            </w:tcBorders>
          </w:tcPr>
          <w:p w:rsidR="00992E13" w:rsidRPr="00220AED" w:rsidRDefault="00992E13" w:rsidP="00992E13">
            <w:pPr>
              <w:pStyle w:val="Heading4"/>
              <w:tabs>
                <w:tab w:val="clear" w:pos="2552"/>
                <w:tab w:val="left" w:pos="34"/>
              </w:tabs>
              <w:spacing w:before="120" w:after="120" w:line="240" w:lineRule="atLeast"/>
              <w:ind w:left="0"/>
              <w:rPr>
                <w:rFonts w:asciiTheme="minorHAnsi" w:hAnsiTheme="minorHAnsi"/>
                <w:i/>
                <w:sz w:val="22"/>
                <w:szCs w:val="22"/>
              </w:rPr>
            </w:pPr>
            <w:r w:rsidRPr="00220AED">
              <w:rPr>
                <w:rFonts w:asciiTheme="minorHAnsi" w:hAnsiTheme="minorHAnsi"/>
                <w:sz w:val="22"/>
                <w:szCs w:val="22"/>
              </w:rPr>
              <w:t>0.</w:t>
            </w:r>
            <w:r w:rsidR="00BB2083">
              <w:rPr>
                <w:rFonts w:asciiTheme="minorHAnsi" w:hAnsiTheme="minorHAnsi"/>
                <w:sz w:val="22"/>
                <w:szCs w:val="22"/>
              </w:rPr>
              <w:t>3</w:t>
            </w:r>
            <w:r w:rsidRPr="00220AED">
              <w:rPr>
                <w:rFonts w:asciiTheme="minorHAnsi" w:hAnsiTheme="minorHAnsi"/>
                <w:sz w:val="22"/>
                <w:szCs w:val="22"/>
              </w:rPr>
              <w:t>5%</w:t>
            </w:r>
          </w:p>
        </w:tc>
      </w:tr>
      <w:tr w:rsidR="00F5371F">
        <w:tc>
          <w:tcPr>
            <w:tcW w:w="5500" w:type="dxa"/>
            <w:tcBorders>
              <w:top w:val="single" w:sz="4" w:space="0" w:color="auto"/>
              <w:left w:val="single" w:sz="4" w:space="0" w:color="auto"/>
              <w:bottom w:val="single" w:sz="4" w:space="0" w:color="auto"/>
              <w:right w:val="single" w:sz="4" w:space="0" w:color="auto"/>
            </w:tcBorders>
          </w:tcPr>
          <w:p w:rsidR="00992E13" w:rsidRPr="00220AED" w:rsidRDefault="00992E13" w:rsidP="00F574FD">
            <w:pPr>
              <w:pStyle w:val="Heading4"/>
              <w:tabs>
                <w:tab w:val="clear" w:pos="2552"/>
                <w:tab w:val="left" w:pos="34"/>
              </w:tabs>
              <w:spacing w:before="120" w:after="120" w:line="240" w:lineRule="atLeast"/>
              <w:ind w:left="0"/>
              <w:rPr>
                <w:rFonts w:asciiTheme="minorHAnsi" w:hAnsiTheme="minorHAnsi"/>
                <w:i/>
                <w:sz w:val="22"/>
                <w:szCs w:val="22"/>
              </w:rPr>
            </w:pPr>
            <w:r w:rsidRPr="00220AED">
              <w:rPr>
                <w:rFonts w:asciiTheme="minorHAnsi" w:hAnsiTheme="minorHAnsi"/>
                <w:sz w:val="22"/>
                <w:szCs w:val="22"/>
              </w:rPr>
              <w:t>International Bond Fund</w:t>
            </w:r>
          </w:p>
        </w:tc>
        <w:tc>
          <w:tcPr>
            <w:tcW w:w="3190" w:type="dxa"/>
            <w:tcBorders>
              <w:top w:val="single" w:sz="4" w:space="0" w:color="auto"/>
              <w:left w:val="single" w:sz="4" w:space="0" w:color="auto"/>
              <w:bottom w:val="single" w:sz="4" w:space="0" w:color="auto"/>
              <w:right w:val="single" w:sz="4" w:space="0" w:color="auto"/>
            </w:tcBorders>
          </w:tcPr>
          <w:p w:rsidR="00992E13" w:rsidRPr="00220AED" w:rsidRDefault="00992E13" w:rsidP="000B6FD2">
            <w:pPr>
              <w:pStyle w:val="Heading4"/>
              <w:tabs>
                <w:tab w:val="clear" w:pos="2552"/>
                <w:tab w:val="left" w:pos="34"/>
              </w:tabs>
              <w:spacing w:before="120" w:after="120" w:line="240" w:lineRule="atLeast"/>
              <w:ind w:left="0"/>
              <w:rPr>
                <w:rFonts w:asciiTheme="minorHAnsi" w:hAnsiTheme="minorHAnsi"/>
                <w:i/>
                <w:sz w:val="22"/>
                <w:szCs w:val="22"/>
              </w:rPr>
            </w:pPr>
            <w:r w:rsidRPr="00220AED">
              <w:rPr>
                <w:rFonts w:asciiTheme="minorHAnsi" w:hAnsiTheme="minorHAnsi"/>
                <w:sz w:val="22"/>
                <w:szCs w:val="22"/>
              </w:rPr>
              <w:t>0.</w:t>
            </w:r>
            <w:r w:rsidR="00BB2083">
              <w:rPr>
                <w:rFonts w:asciiTheme="minorHAnsi" w:hAnsiTheme="minorHAnsi"/>
                <w:sz w:val="22"/>
                <w:szCs w:val="22"/>
              </w:rPr>
              <w:t>35</w:t>
            </w:r>
            <w:r w:rsidRPr="00220AED">
              <w:rPr>
                <w:rFonts w:asciiTheme="minorHAnsi" w:hAnsiTheme="minorHAnsi"/>
                <w:sz w:val="22"/>
                <w:szCs w:val="22"/>
              </w:rPr>
              <w:t>%</w:t>
            </w:r>
          </w:p>
        </w:tc>
      </w:tr>
      <w:tr w:rsidR="00F5371F">
        <w:tc>
          <w:tcPr>
            <w:tcW w:w="5500" w:type="dxa"/>
            <w:tcBorders>
              <w:top w:val="single" w:sz="4" w:space="0" w:color="auto"/>
              <w:left w:val="single" w:sz="4" w:space="0" w:color="auto"/>
              <w:bottom w:val="single" w:sz="4" w:space="0" w:color="auto"/>
              <w:right w:val="single" w:sz="4" w:space="0" w:color="auto"/>
            </w:tcBorders>
          </w:tcPr>
          <w:p w:rsidR="00DC1623" w:rsidRPr="00220AED" w:rsidRDefault="00DC1623" w:rsidP="00F574FD">
            <w:pPr>
              <w:pStyle w:val="Heading4"/>
              <w:tabs>
                <w:tab w:val="clear" w:pos="2552"/>
                <w:tab w:val="left" w:pos="34"/>
              </w:tabs>
              <w:spacing w:before="120" w:after="120" w:line="240" w:lineRule="atLeast"/>
              <w:ind w:left="0"/>
              <w:rPr>
                <w:rFonts w:asciiTheme="minorHAnsi" w:hAnsiTheme="minorHAnsi"/>
                <w:sz w:val="22"/>
                <w:szCs w:val="22"/>
              </w:rPr>
            </w:pPr>
            <w:r w:rsidRPr="00220AED">
              <w:rPr>
                <w:rFonts w:asciiTheme="minorHAnsi" w:hAnsiTheme="minorHAnsi"/>
                <w:sz w:val="22"/>
                <w:szCs w:val="22"/>
              </w:rPr>
              <w:t>Balanced Fund</w:t>
            </w:r>
          </w:p>
        </w:tc>
        <w:tc>
          <w:tcPr>
            <w:tcW w:w="3190" w:type="dxa"/>
            <w:tcBorders>
              <w:top w:val="single" w:sz="4" w:space="0" w:color="auto"/>
              <w:left w:val="single" w:sz="4" w:space="0" w:color="auto"/>
              <w:bottom w:val="single" w:sz="4" w:space="0" w:color="auto"/>
              <w:right w:val="single" w:sz="4" w:space="0" w:color="auto"/>
            </w:tcBorders>
          </w:tcPr>
          <w:p w:rsidR="00DC1623" w:rsidRPr="00220AED" w:rsidRDefault="00DC1623" w:rsidP="000B6FD2">
            <w:pPr>
              <w:pStyle w:val="Heading4"/>
              <w:tabs>
                <w:tab w:val="clear" w:pos="2552"/>
                <w:tab w:val="left" w:pos="34"/>
              </w:tabs>
              <w:spacing w:before="120" w:after="120" w:line="240" w:lineRule="atLeast"/>
              <w:ind w:left="0"/>
              <w:rPr>
                <w:rFonts w:asciiTheme="minorHAnsi" w:hAnsiTheme="minorHAnsi"/>
                <w:sz w:val="22"/>
                <w:szCs w:val="22"/>
              </w:rPr>
            </w:pPr>
            <w:r w:rsidRPr="00220AED">
              <w:rPr>
                <w:rFonts w:asciiTheme="minorHAnsi" w:hAnsiTheme="minorHAnsi"/>
                <w:sz w:val="22"/>
                <w:szCs w:val="22"/>
              </w:rPr>
              <w:t>0</w:t>
            </w:r>
            <w:r w:rsidR="00BB2083">
              <w:rPr>
                <w:rFonts w:asciiTheme="minorHAnsi" w:hAnsiTheme="minorHAnsi"/>
                <w:sz w:val="22"/>
                <w:szCs w:val="22"/>
              </w:rPr>
              <w:t>.75</w:t>
            </w:r>
            <w:r w:rsidRPr="00220AED">
              <w:rPr>
                <w:rFonts w:asciiTheme="minorHAnsi" w:hAnsiTheme="minorHAnsi"/>
                <w:sz w:val="22"/>
                <w:szCs w:val="22"/>
              </w:rPr>
              <w:t>%</w:t>
            </w:r>
          </w:p>
        </w:tc>
      </w:tr>
    </w:tbl>
    <w:p w:rsidR="00992E13" w:rsidRPr="00DC1623" w:rsidRDefault="00992E13" w:rsidP="005E1909">
      <w:pPr>
        <w:spacing w:after="0"/>
        <w:rPr>
          <w:i/>
          <w:sz w:val="18"/>
        </w:rPr>
      </w:pPr>
    </w:p>
    <w:p w:rsidR="004F6552" w:rsidRPr="004F6552" w:rsidRDefault="004F6552" w:rsidP="00DC1623">
      <w:pPr>
        <w:rPr>
          <w:rFonts w:asciiTheme="minorHAnsi" w:hAnsiTheme="minorHAnsi"/>
          <w:sz w:val="20"/>
        </w:rPr>
      </w:pPr>
      <w:r w:rsidRPr="004F6552">
        <w:rPr>
          <w:rFonts w:asciiTheme="minorHAnsi" w:hAnsiTheme="minorHAnsi"/>
          <w:sz w:val="20"/>
        </w:rPr>
        <w:t>*This is the fee paid to Trust Management as the Manager and does not include</w:t>
      </w:r>
      <w:r w:rsidRPr="004F6552">
        <w:rPr>
          <w:sz w:val="20"/>
        </w:rPr>
        <w:t xml:space="preserve"> </w:t>
      </w:r>
      <w:r w:rsidRPr="004F6552">
        <w:rPr>
          <w:rFonts w:asciiTheme="minorHAnsi" w:hAnsiTheme="minorHAnsi"/>
          <w:sz w:val="20"/>
        </w:rPr>
        <w:t>the Investment manager’s fee below.</w:t>
      </w:r>
    </w:p>
    <w:p w:rsidR="005E1909" w:rsidRDefault="005E1909" w:rsidP="00DC1623">
      <w:pPr>
        <w:rPr>
          <w:rFonts w:asciiTheme="minorHAnsi" w:hAnsiTheme="minorHAnsi"/>
          <w:sz w:val="22"/>
          <w:szCs w:val="22"/>
        </w:rPr>
      </w:pPr>
      <w:r w:rsidRPr="00220AED">
        <w:rPr>
          <w:rFonts w:asciiTheme="minorHAnsi" w:hAnsiTheme="minorHAnsi"/>
          <w:sz w:val="22"/>
          <w:szCs w:val="22"/>
        </w:rPr>
        <w:t>Each of the International Share Fund, the International Bond Fund and the Balanced Fund invest in underlying funds, as further described under the heading “Investment in other funds” below. We ensure you do not bear the cost of any management fees charged to those underlying funds by reducing our own management fees to the Funds by an equivalent amount. This means that the annual management fees charged to the International Share Fund, the International Bond Fund, the Balanced Fund and any underlying funds in which they invest do not exceed the fees shown in the table above.</w:t>
      </w:r>
    </w:p>
    <w:p w:rsidR="003B08FD" w:rsidRDefault="003B08FD" w:rsidP="00DC1623">
      <w:pPr>
        <w:rPr>
          <w:rFonts w:asciiTheme="minorHAnsi" w:hAnsiTheme="minorHAnsi"/>
          <w:sz w:val="22"/>
          <w:szCs w:val="22"/>
        </w:rPr>
      </w:pPr>
    </w:p>
    <w:p w:rsidR="003B08FD" w:rsidRPr="00220AED" w:rsidRDefault="003B08FD" w:rsidP="00DC1623">
      <w:pPr>
        <w:rPr>
          <w:rFonts w:asciiTheme="minorHAnsi" w:hAnsiTheme="minorHAnsi"/>
          <w:sz w:val="22"/>
          <w:szCs w:val="22"/>
          <w:vertAlign w:val="subscript"/>
        </w:rPr>
      </w:pPr>
    </w:p>
    <w:p w:rsidR="00992E13" w:rsidRPr="00220AED" w:rsidRDefault="00A2731D" w:rsidP="00DC1623">
      <w:pPr>
        <w:rPr>
          <w:rFonts w:asciiTheme="minorHAnsi" w:hAnsiTheme="minorHAnsi"/>
          <w:sz w:val="22"/>
          <w:szCs w:val="22"/>
        </w:rPr>
      </w:pPr>
      <w:r>
        <w:rPr>
          <w:rFonts w:cs="Arial"/>
          <w:b/>
          <w:noProof/>
          <w:sz w:val="22"/>
          <w:szCs w:val="22"/>
        </w:rPr>
        <w:pict w14:anchorId="67FC91AD">
          <v:shape id="_x0000_s1036" style="position:absolute;left:0;text-align:left;margin-left:-28.9pt;margin-top:-49.55pt;width:559.5pt;height:804.6pt;rotation:18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r w:rsidR="00992E13" w:rsidRPr="00220AED">
        <w:rPr>
          <w:rFonts w:asciiTheme="minorHAnsi" w:hAnsiTheme="minorHAnsi"/>
          <w:sz w:val="22"/>
          <w:szCs w:val="22"/>
        </w:rPr>
        <w:t xml:space="preserve">We are also paid accounting fees in relation to the Funds.  These fees are set by agreement with the </w:t>
      </w:r>
      <w:r w:rsidR="00DC1623" w:rsidRPr="00220AED">
        <w:rPr>
          <w:rFonts w:asciiTheme="minorHAnsi" w:hAnsiTheme="minorHAnsi"/>
          <w:sz w:val="22"/>
          <w:szCs w:val="22"/>
        </w:rPr>
        <w:t>Supervisor</w:t>
      </w:r>
      <w:r w:rsidR="00992E13" w:rsidRPr="00220AED">
        <w:rPr>
          <w:rFonts w:asciiTheme="minorHAnsi" w:hAnsiTheme="minorHAnsi"/>
          <w:sz w:val="22"/>
          <w:szCs w:val="22"/>
        </w:rPr>
        <w:t xml:space="preserve"> from time to time.  The current </w:t>
      </w:r>
      <w:r w:rsidR="000B6FD2" w:rsidRPr="00220AED">
        <w:rPr>
          <w:rFonts w:asciiTheme="minorHAnsi" w:hAnsiTheme="minorHAnsi"/>
          <w:sz w:val="22"/>
          <w:szCs w:val="22"/>
        </w:rPr>
        <w:t xml:space="preserve">annual </w:t>
      </w:r>
      <w:r w:rsidR="00992E13" w:rsidRPr="00220AED">
        <w:rPr>
          <w:rFonts w:asciiTheme="minorHAnsi" w:hAnsiTheme="minorHAnsi"/>
          <w:sz w:val="22"/>
          <w:szCs w:val="22"/>
        </w:rPr>
        <w:t>accounting fees are shown in the table below</w:t>
      </w:r>
      <w:r w:rsidR="00DC1623" w:rsidRPr="00220AED">
        <w:rPr>
          <w:rFonts w:asciiTheme="minorHAnsi" w:hAnsiTheme="minorHAnsi"/>
          <w:sz w:val="22"/>
          <w:szCs w:val="22"/>
        </w:rPr>
        <w:t>:</w:t>
      </w:r>
      <w:r w:rsidR="00976AAE">
        <w:rPr>
          <w:rFonts w:asciiTheme="minorHAnsi" w:hAnsiTheme="minorHAnsi"/>
          <w:sz w:val="22"/>
          <w:szCs w:val="22"/>
        </w:rPr>
        <w:t xml:space="preserve"> </w:t>
      </w:r>
    </w:p>
    <w:tbl>
      <w:tblPr>
        <w:tblW w:w="8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0"/>
        <w:gridCol w:w="3190"/>
      </w:tblGrid>
      <w:tr w:rsidR="00F5371F" w:rsidTr="0062627D">
        <w:trPr>
          <w:trHeight w:val="340"/>
        </w:trPr>
        <w:tc>
          <w:tcPr>
            <w:tcW w:w="5500" w:type="dxa"/>
            <w:shd w:val="clear" w:color="auto" w:fill="00B050"/>
          </w:tcPr>
          <w:p w:rsidR="00992E13" w:rsidRPr="00220AED" w:rsidRDefault="00992E13" w:rsidP="0062627D">
            <w:pPr>
              <w:pStyle w:val="Heading4"/>
              <w:tabs>
                <w:tab w:val="clear" w:pos="2552"/>
                <w:tab w:val="left" w:pos="34"/>
              </w:tabs>
              <w:spacing w:after="0"/>
              <w:ind w:left="0"/>
              <w:jc w:val="left"/>
              <w:rPr>
                <w:rFonts w:asciiTheme="minorHAnsi" w:hAnsiTheme="minorHAnsi"/>
                <w:b/>
                <w:i/>
                <w:color w:val="FFFFFF" w:themeColor="background1"/>
                <w:sz w:val="22"/>
                <w:szCs w:val="22"/>
              </w:rPr>
            </w:pPr>
            <w:r w:rsidRPr="00220AED">
              <w:rPr>
                <w:rFonts w:asciiTheme="minorHAnsi" w:hAnsiTheme="minorHAnsi"/>
                <w:b/>
                <w:color w:val="FFFFFF" w:themeColor="background1"/>
                <w:sz w:val="22"/>
                <w:szCs w:val="22"/>
              </w:rPr>
              <w:t>Fund</w:t>
            </w:r>
          </w:p>
        </w:tc>
        <w:tc>
          <w:tcPr>
            <w:tcW w:w="3190" w:type="dxa"/>
            <w:shd w:val="clear" w:color="auto" w:fill="00B050"/>
          </w:tcPr>
          <w:p w:rsidR="00992E13" w:rsidRPr="00220AED" w:rsidRDefault="00992E13" w:rsidP="0062627D">
            <w:pPr>
              <w:pStyle w:val="Heading4"/>
              <w:tabs>
                <w:tab w:val="clear" w:pos="2552"/>
                <w:tab w:val="left" w:pos="34"/>
              </w:tabs>
              <w:spacing w:after="0"/>
              <w:ind w:left="0"/>
              <w:jc w:val="left"/>
              <w:rPr>
                <w:rFonts w:asciiTheme="minorHAnsi" w:hAnsiTheme="minorHAnsi"/>
                <w:b/>
                <w:i/>
                <w:color w:val="FFFFFF" w:themeColor="background1"/>
                <w:sz w:val="22"/>
                <w:szCs w:val="22"/>
              </w:rPr>
            </w:pPr>
            <w:r w:rsidRPr="00220AED">
              <w:rPr>
                <w:rFonts w:asciiTheme="minorHAnsi" w:hAnsiTheme="minorHAnsi"/>
                <w:b/>
                <w:color w:val="FFFFFF" w:themeColor="background1"/>
                <w:sz w:val="22"/>
                <w:szCs w:val="22"/>
              </w:rPr>
              <w:t>Accounting Fee</w:t>
            </w:r>
          </w:p>
        </w:tc>
      </w:tr>
      <w:tr w:rsidR="00F5371F" w:rsidTr="0062627D">
        <w:trPr>
          <w:trHeight w:val="340"/>
        </w:trPr>
        <w:tc>
          <w:tcPr>
            <w:tcW w:w="5500" w:type="dxa"/>
            <w:shd w:val="clear" w:color="auto" w:fill="auto"/>
          </w:tcPr>
          <w:p w:rsidR="00992E13" w:rsidRPr="00220AED" w:rsidRDefault="00992E13" w:rsidP="0062627D">
            <w:pPr>
              <w:pStyle w:val="Heading4"/>
              <w:tabs>
                <w:tab w:val="clear" w:pos="2552"/>
                <w:tab w:val="left" w:pos="34"/>
              </w:tabs>
              <w:spacing w:after="0"/>
              <w:ind w:left="0"/>
              <w:jc w:val="left"/>
              <w:rPr>
                <w:rFonts w:asciiTheme="minorHAnsi" w:hAnsiTheme="minorHAnsi"/>
                <w:i/>
                <w:color w:val="000000"/>
                <w:sz w:val="22"/>
                <w:szCs w:val="22"/>
              </w:rPr>
            </w:pPr>
            <w:r w:rsidRPr="00220AED">
              <w:rPr>
                <w:rFonts w:asciiTheme="minorHAnsi" w:hAnsiTheme="minorHAnsi"/>
                <w:color w:val="000000"/>
                <w:sz w:val="22"/>
                <w:szCs w:val="22"/>
              </w:rPr>
              <w:t>Property Fund</w:t>
            </w:r>
          </w:p>
        </w:tc>
        <w:tc>
          <w:tcPr>
            <w:tcW w:w="3190" w:type="dxa"/>
            <w:shd w:val="clear" w:color="auto" w:fill="auto"/>
          </w:tcPr>
          <w:p w:rsidR="00992E13" w:rsidRPr="00220AED" w:rsidRDefault="00992E13" w:rsidP="0062627D">
            <w:pPr>
              <w:pStyle w:val="Heading4"/>
              <w:tabs>
                <w:tab w:val="clear" w:pos="2552"/>
                <w:tab w:val="left" w:pos="34"/>
              </w:tabs>
              <w:spacing w:after="0"/>
              <w:ind w:left="0"/>
              <w:jc w:val="left"/>
              <w:rPr>
                <w:rFonts w:asciiTheme="minorHAnsi" w:hAnsiTheme="minorHAnsi"/>
                <w:i/>
                <w:sz w:val="22"/>
                <w:szCs w:val="22"/>
              </w:rPr>
            </w:pPr>
            <w:r w:rsidRPr="00220AED">
              <w:rPr>
                <w:rFonts w:asciiTheme="minorHAnsi" w:hAnsiTheme="minorHAnsi"/>
                <w:sz w:val="22"/>
                <w:szCs w:val="22"/>
              </w:rPr>
              <w:t>$40,000</w:t>
            </w:r>
          </w:p>
        </w:tc>
      </w:tr>
      <w:tr w:rsidR="00F5371F" w:rsidTr="0062627D">
        <w:trPr>
          <w:trHeight w:val="340"/>
        </w:trPr>
        <w:tc>
          <w:tcPr>
            <w:tcW w:w="5500" w:type="dxa"/>
            <w:shd w:val="clear" w:color="auto" w:fill="auto"/>
          </w:tcPr>
          <w:p w:rsidR="00992E13" w:rsidRPr="00220AED" w:rsidRDefault="00992E13" w:rsidP="0062627D">
            <w:pPr>
              <w:pStyle w:val="Heading4"/>
              <w:tabs>
                <w:tab w:val="clear" w:pos="2552"/>
                <w:tab w:val="left" w:pos="34"/>
              </w:tabs>
              <w:spacing w:after="0"/>
              <w:ind w:left="0"/>
              <w:jc w:val="left"/>
              <w:rPr>
                <w:rFonts w:asciiTheme="minorHAnsi" w:hAnsiTheme="minorHAnsi"/>
                <w:i/>
                <w:color w:val="000000"/>
                <w:sz w:val="22"/>
                <w:szCs w:val="22"/>
              </w:rPr>
            </w:pPr>
            <w:r w:rsidRPr="00220AED">
              <w:rPr>
                <w:rFonts w:asciiTheme="minorHAnsi" w:hAnsiTheme="minorHAnsi"/>
                <w:color w:val="000000"/>
                <w:sz w:val="22"/>
                <w:szCs w:val="22"/>
              </w:rPr>
              <w:t>Sustainable Australasian Share Fund</w:t>
            </w:r>
          </w:p>
        </w:tc>
        <w:tc>
          <w:tcPr>
            <w:tcW w:w="3190" w:type="dxa"/>
            <w:shd w:val="clear" w:color="auto" w:fill="auto"/>
          </w:tcPr>
          <w:p w:rsidR="00992E13" w:rsidRPr="00220AED" w:rsidRDefault="00992E13" w:rsidP="0062627D">
            <w:pPr>
              <w:pStyle w:val="Heading4"/>
              <w:tabs>
                <w:tab w:val="clear" w:pos="2552"/>
                <w:tab w:val="left" w:pos="34"/>
              </w:tabs>
              <w:spacing w:after="0"/>
              <w:ind w:left="0"/>
              <w:jc w:val="left"/>
              <w:rPr>
                <w:rFonts w:asciiTheme="minorHAnsi" w:hAnsiTheme="minorHAnsi"/>
                <w:i/>
                <w:color w:val="000000"/>
                <w:sz w:val="22"/>
                <w:szCs w:val="22"/>
              </w:rPr>
            </w:pPr>
            <w:r w:rsidRPr="00220AED">
              <w:rPr>
                <w:rFonts w:asciiTheme="minorHAnsi" w:hAnsiTheme="minorHAnsi"/>
                <w:color w:val="000000"/>
                <w:sz w:val="22"/>
                <w:szCs w:val="22"/>
              </w:rPr>
              <w:t>$20,000</w:t>
            </w:r>
          </w:p>
        </w:tc>
      </w:tr>
      <w:tr w:rsidR="00F5371F" w:rsidTr="0062627D">
        <w:trPr>
          <w:trHeight w:val="340"/>
        </w:trPr>
        <w:tc>
          <w:tcPr>
            <w:tcW w:w="5500" w:type="dxa"/>
            <w:shd w:val="clear" w:color="auto" w:fill="auto"/>
          </w:tcPr>
          <w:p w:rsidR="00992E13" w:rsidRPr="00220AED" w:rsidRDefault="00992E13" w:rsidP="0062627D">
            <w:pPr>
              <w:pStyle w:val="Heading4"/>
              <w:tabs>
                <w:tab w:val="clear" w:pos="2552"/>
                <w:tab w:val="left" w:pos="34"/>
              </w:tabs>
              <w:spacing w:after="0"/>
              <w:ind w:left="0"/>
              <w:jc w:val="left"/>
              <w:rPr>
                <w:rFonts w:asciiTheme="minorHAnsi" w:hAnsiTheme="minorHAnsi"/>
                <w:i/>
                <w:color w:val="000000"/>
                <w:sz w:val="22"/>
                <w:szCs w:val="22"/>
              </w:rPr>
            </w:pPr>
            <w:r w:rsidRPr="00220AED">
              <w:rPr>
                <w:rFonts w:asciiTheme="minorHAnsi" w:hAnsiTheme="minorHAnsi"/>
                <w:color w:val="000000"/>
                <w:sz w:val="22"/>
                <w:szCs w:val="22"/>
              </w:rPr>
              <w:t>NZ Bond Fund</w:t>
            </w:r>
          </w:p>
        </w:tc>
        <w:tc>
          <w:tcPr>
            <w:tcW w:w="3190" w:type="dxa"/>
            <w:shd w:val="clear" w:color="auto" w:fill="auto"/>
          </w:tcPr>
          <w:p w:rsidR="00992E13" w:rsidRPr="00220AED" w:rsidRDefault="00046C6B" w:rsidP="0062627D">
            <w:pPr>
              <w:pStyle w:val="Heading4"/>
              <w:tabs>
                <w:tab w:val="clear" w:pos="2552"/>
                <w:tab w:val="left" w:pos="34"/>
              </w:tabs>
              <w:spacing w:after="0"/>
              <w:ind w:left="0"/>
              <w:jc w:val="left"/>
              <w:rPr>
                <w:rFonts w:asciiTheme="minorHAnsi" w:hAnsiTheme="minorHAnsi"/>
                <w:i/>
                <w:color w:val="000000"/>
                <w:sz w:val="22"/>
                <w:szCs w:val="22"/>
              </w:rPr>
            </w:pPr>
            <w:r>
              <w:rPr>
                <w:rFonts w:asciiTheme="minorHAnsi" w:hAnsiTheme="minorHAnsi"/>
                <w:color w:val="000000"/>
                <w:sz w:val="22"/>
                <w:szCs w:val="22"/>
              </w:rPr>
              <w:t>$15,000</w:t>
            </w:r>
          </w:p>
        </w:tc>
      </w:tr>
      <w:tr w:rsidR="00F5371F" w:rsidTr="0062627D">
        <w:trPr>
          <w:trHeight w:val="340"/>
        </w:trPr>
        <w:tc>
          <w:tcPr>
            <w:tcW w:w="5500" w:type="dxa"/>
            <w:shd w:val="clear" w:color="auto" w:fill="auto"/>
          </w:tcPr>
          <w:p w:rsidR="00992E13" w:rsidRPr="00220AED" w:rsidRDefault="00992E13" w:rsidP="0062627D">
            <w:pPr>
              <w:pStyle w:val="Heading4"/>
              <w:tabs>
                <w:tab w:val="clear" w:pos="2552"/>
                <w:tab w:val="left" w:pos="34"/>
              </w:tabs>
              <w:spacing w:after="0"/>
              <w:ind w:left="0"/>
              <w:jc w:val="left"/>
              <w:rPr>
                <w:rFonts w:asciiTheme="minorHAnsi" w:hAnsiTheme="minorHAnsi"/>
                <w:i/>
                <w:color w:val="000000"/>
                <w:sz w:val="22"/>
                <w:szCs w:val="22"/>
              </w:rPr>
            </w:pPr>
            <w:r w:rsidRPr="00220AED">
              <w:rPr>
                <w:rFonts w:asciiTheme="minorHAnsi" w:hAnsiTheme="minorHAnsi"/>
                <w:color w:val="000000"/>
                <w:sz w:val="22"/>
                <w:szCs w:val="22"/>
              </w:rPr>
              <w:t>International Share Fund</w:t>
            </w:r>
          </w:p>
        </w:tc>
        <w:tc>
          <w:tcPr>
            <w:tcW w:w="3190" w:type="dxa"/>
            <w:shd w:val="clear" w:color="auto" w:fill="auto"/>
          </w:tcPr>
          <w:p w:rsidR="00992E13" w:rsidRPr="00220AED" w:rsidRDefault="00046C6B" w:rsidP="0062627D">
            <w:pPr>
              <w:pStyle w:val="Heading4"/>
              <w:tabs>
                <w:tab w:val="clear" w:pos="2552"/>
                <w:tab w:val="left" w:pos="34"/>
              </w:tabs>
              <w:spacing w:after="0"/>
              <w:ind w:left="0"/>
              <w:jc w:val="left"/>
              <w:rPr>
                <w:rFonts w:asciiTheme="minorHAnsi" w:hAnsiTheme="minorHAnsi"/>
                <w:i/>
                <w:color w:val="000000"/>
                <w:sz w:val="22"/>
                <w:szCs w:val="22"/>
              </w:rPr>
            </w:pPr>
            <w:r>
              <w:rPr>
                <w:rFonts w:asciiTheme="minorHAnsi" w:hAnsiTheme="minorHAnsi"/>
                <w:color w:val="000000"/>
                <w:sz w:val="22"/>
                <w:szCs w:val="22"/>
              </w:rPr>
              <w:t>$12,500</w:t>
            </w:r>
          </w:p>
        </w:tc>
      </w:tr>
      <w:tr w:rsidR="00F5371F" w:rsidTr="0062627D">
        <w:trPr>
          <w:trHeight w:val="340"/>
        </w:trPr>
        <w:tc>
          <w:tcPr>
            <w:tcW w:w="5500" w:type="dxa"/>
            <w:shd w:val="clear" w:color="auto" w:fill="auto"/>
          </w:tcPr>
          <w:p w:rsidR="00992E13" w:rsidRPr="00220AED" w:rsidRDefault="00992E13" w:rsidP="0062627D">
            <w:pPr>
              <w:pStyle w:val="Heading4"/>
              <w:tabs>
                <w:tab w:val="clear" w:pos="2552"/>
                <w:tab w:val="left" w:pos="34"/>
              </w:tabs>
              <w:spacing w:after="0"/>
              <w:ind w:left="0"/>
              <w:jc w:val="left"/>
              <w:rPr>
                <w:rFonts w:asciiTheme="minorHAnsi" w:hAnsiTheme="minorHAnsi"/>
                <w:i/>
                <w:color w:val="000000"/>
                <w:sz w:val="22"/>
                <w:szCs w:val="22"/>
              </w:rPr>
            </w:pPr>
            <w:r w:rsidRPr="00220AED">
              <w:rPr>
                <w:rFonts w:asciiTheme="minorHAnsi" w:hAnsiTheme="minorHAnsi"/>
                <w:color w:val="000000"/>
                <w:sz w:val="22"/>
                <w:szCs w:val="22"/>
              </w:rPr>
              <w:t>International Bond Fund</w:t>
            </w:r>
          </w:p>
        </w:tc>
        <w:tc>
          <w:tcPr>
            <w:tcW w:w="3190" w:type="dxa"/>
            <w:shd w:val="clear" w:color="auto" w:fill="auto"/>
          </w:tcPr>
          <w:p w:rsidR="00992E13" w:rsidRPr="00220AED" w:rsidRDefault="00046C6B" w:rsidP="0062627D">
            <w:pPr>
              <w:pStyle w:val="Heading4"/>
              <w:tabs>
                <w:tab w:val="clear" w:pos="2552"/>
                <w:tab w:val="left" w:pos="34"/>
              </w:tabs>
              <w:spacing w:after="0"/>
              <w:ind w:left="0"/>
              <w:jc w:val="left"/>
              <w:rPr>
                <w:rFonts w:asciiTheme="minorHAnsi" w:hAnsiTheme="minorHAnsi"/>
                <w:i/>
                <w:color w:val="000000"/>
                <w:sz w:val="22"/>
                <w:szCs w:val="22"/>
              </w:rPr>
            </w:pPr>
            <w:r>
              <w:rPr>
                <w:rFonts w:asciiTheme="minorHAnsi" w:hAnsiTheme="minorHAnsi"/>
                <w:color w:val="000000"/>
                <w:sz w:val="22"/>
                <w:szCs w:val="22"/>
              </w:rPr>
              <w:t>$</w:t>
            </w:r>
            <w:r w:rsidR="00654640">
              <w:rPr>
                <w:rFonts w:asciiTheme="minorHAnsi" w:hAnsiTheme="minorHAnsi"/>
                <w:color w:val="000000"/>
                <w:sz w:val="22"/>
                <w:szCs w:val="22"/>
              </w:rPr>
              <w:t>1</w:t>
            </w:r>
            <w:r>
              <w:rPr>
                <w:rFonts w:asciiTheme="minorHAnsi" w:hAnsiTheme="minorHAnsi"/>
                <w:color w:val="000000"/>
                <w:sz w:val="22"/>
                <w:szCs w:val="22"/>
              </w:rPr>
              <w:t>2,500</w:t>
            </w:r>
          </w:p>
        </w:tc>
      </w:tr>
      <w:tr w:rsidR="00F5371F" w:rsidTr="0062627D">
        <w:trPr>
          <w:trHeight w:val="340"/>
        </w:trPr>
        <w:tc>
          <w:tcPr>
            <w:tcW w:w="5500" w:type="dxa"/>
            <w:tcBorders>
              <w:top w:val="single" w:sz="4" w:space="0" w:color="auto"/>
              <w:left w:val="single" w:sz="4" w:space="0" w:color="auto"/>
              <w:bottom w:val="single" w:sz="4" w:space="0" w:color="auto"/>
              <w:right w:val="single" w:sz="4" w:space="0" w:color="auto"/>
            </w:tcBorders>
            <w:shd w:val="clear" w:color="auto" w:fill="auto"/>
          </w:tcPr>
          <w:p w:rsidR="00DC1623" w:rsidRPr="00220AED" w:rsidRDefault="00DC1623" w:rsidP="0062627D">
            <w:pPr>
              <w:pStyle w:val="Heading4"/>
              <w:tabs>
                <w:tab w:val="clear" w:pos="2552"/>
                <w:tab w:val="left" w:pos="34"/>
              </w:tabs>
              <w:spacing w:after="0"/>
              <w:ind w:left="0"/>
              <w:jc w:val="left"/>
              <w:rPr>
                <w:rFonts w:asciiTheme="minorHAnsi" w:hAnsiTheme="minorHAnsi"/>
                <w:color w:val="000000"/>
                <w:sz w:val="22"/>
                <w:szCs w:val="22"/>
              </w:rPr>
            </w:pPr>
            <w:r w:rsidRPr="00220AED">
              <w:rPr>
                <w:rFonts w:asciiTheme="minorHAnsi" w:hAnsiTheme="minorHAnsi"/>
                <w:color w:val="000000"/>
                <w:sz w:val="22"/>
                <w:szCs w:val="22"/>
              </w:rPr>
              <w:t>Balanced Fund</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DC1623" w:rsidRPr="00220AED" w:rsidRDefault="00DC1623" w:rsidP="0062627D">
            <w:pPr>
              <w:pStyle w:val="Heading4"/>
              <w:tabs>
                <w:tab w:val="clear" w:pos="2552"/>
                <w:tab w:val="left" w:pos="34"/>
              </w:tabs>
              <w:spacing w:after="0"/>
              <w:ind w:left="0"/>
              <w:jc w:val="left"/>
              <w:rPr>
                <w:rFonts w:asciiTheme="minorHAnsi" w:hAnsiTheme="minorHAnsi"/>
                <w:color w:val="000000"/>
                <w:sz w:val="22"/>
                <w:szCs w:val="22"/>
              </w:rPr>
            </w:pPr>
            <w:r w:rsidRPr="00220AED">
              <w:rPr>
                <w:rFonts w:asciiTheme="minorHAnsi" w:hAnsiTheme="minorHAnsi"/>
                <w:color w:val="000000"/>
                <w:sz w:val="22"/>
                <w:szCs w:val="22"/>
              </w:rPr>
              <w:t>$7,500</w:t>
            </w:r>
          </w:p>
        </w:tc>
      </w:tr>
    </w:tbl>
    <w:p w:rsidR="00992E13" w:rsidRPr="00146FE4" w:rsidRDefault="00992E13" w:rsidP="00992E13">
      <w:pPr>
        <w:pStyle w:val="BalloonText"/>
        <w:spacing w:line="240" w:lineRule="atLeast"/>
        <w:rPr>
          <w:rFonts w:ascii="Verdana" w:hAnsi="Verdana"/>
          <w:spacing w:val="5"/>
          <w:kern w:val="20"/>
          <w:sz w:val="20"/>
          <w:szCs w:val="20"/>
          <w:lang w:val="en-US"/>
        </w:rPr>
      </w:pPr>
    </w:p>
    <w:p w:rsidR="00992E13" w:rsidRPr="00220AED" w:rsidRDefault="00992E13" w:rsidP="00220AED">
      <w:pPr>
        <w:spacing w:after="180"/>
        <w:rPr>
          <w:rFonts w:asciiTheme="minorHAnsi" w:hAnsiTheme="minorHAnsi"/>
          <w:sz w:val="22"/>
          <w:szCs w:val="22"/>
        </w:rPr>
      </w:pPr>
      <w:r w:rsidRPr="00220AED">
        <w:rPr>
          <w:rFonts w:asciiTheme="minorHAnsi" w:hAnsiTheme="minorHAnsi"/>
          <w:sz w:val="22"/>
          <w:szCs w:val="22"/>
        </w:rPr>
        <w:t xml:space="preserve">We may, in our absolute discretion, in respect of each Fund, waive part or all of our management or accounting fees. </w:t>
      </w:r>
    </w:p>
    <w:p w:rsidR="00992E13" w:rsidRPr="00220AED" w:rsidRDefault="000B6FD2" w:rsidP="00220AED">
      <w:pPr>
        <w:pStyle w:val="Heading2"/>
        <w:spacing w:after="180"/>
      </w:pPr>
      <w:r w:rsidRPr="00220AED">
        <w:t>Supervisor’s fee</w:t>
      </w:r>
    </w:p>
    <w:p w:rsidR="000B6FD2" w:rsidRPr="00220AED" w:rsidRDefault="000B6FD2" w:rsidP="00B77A13">
      <w:pPr>
        <w:spacing w:after="120"/>
        <w:rPr>
          <w:rFonts w:asciiTheme="minorHAnsi" w:hAnsiTheme="minorHAnsi"/>
          <w:sz w:val="22"/>
          <w:szCs w:val="22"/>
        </w:rPr>
      </w:pPr>
      <w:r w:rsidRPr="00220AED">
        <w:rPr>
          <w:rFonts w:asciiTheme="minorHAnsi" w:hAnsiTheme="minorHAnsi"/>
          <w:sz w:val="22"/>
          <w:szCs w:val="22"/>
        </w:rPr>
        <w:t xml:space="preserve">The Supervisor is entitled to be paid, by way of remuneration for its services, a fee out of each of the Funds. The Supervisor’s fee is </w:t>
      </w:r>
      <w:r w:rsidR="00C6697F">
        <w:rPr>
          <w:rFonts w:asciiTheme="minorHAnsi" w:hAnsiTheme="minorHAnsi"/>
          <w:sz w:val="22"/>
          <w:szCs w:val="22"/>
        </w:rPr>
        <w:t>up to</w:t>
      </w:r>
      <w:r w:rsidR="00C6697F" w:rsidRPr="00220AED">
        <w:rPr>
          <w:rFonts w:asciiTheme="minorHAnsi" w:hAnsiTheme="minorHAnsi"/>
          <w:sz w:val="22"/>
          <w:szCs w:val="22"/>
        </w:rPr>
        <w:t xml:space="preserve"> </w:t>
      </w:r>
      <w:r w:rsidR="00654640">
        <w:rPr>
          <w:rFonts w:asciiTheme="minorHAnsi" w:hAnsiTheme="minorHAnsi"/>
          <w:sz w:val="22"/>
          <w:szCs w:val="22"/>
        </w:rPr>
        <w:t>0.065% on funds under management</w:t>
      </w:r>
      <w:r w:rsidRPr="00220AED">
        <w:rPr>
          <w:rFonts w:asciiTheme="minorHAnsi" w:hAnsiTheme="minorHAnsi"/>
          <w:sz w:val="22"/>
          <w:szCs w:val="22"/>
        </w:rPr>
        <w:t>, subject to a minimum annual fee of $60,000. Where this minimum fee applies, the fee will be charged to the Funds in proportion to the funds under management in each Fund.  The Supervisor’s fee is paid quarterly in arrears.</w:t>
      </w:r>
      <w:r w:rsidR="00976AAE">
        <w:rPr>
          <w:rFonts w:asciiTheme="minorHAnsi" w:hAnsiTheme="minorHAnsi"/>
          <w:sz w:val="22"/>
          <w:szCs w:val="22"/>
        </w:rPr>
        <w:t xml:space="preserve"> </w:t>
      </w:r>
    </w:p>
    <w:p w:rsidR="000B6FD2" w:rsidRPr="00220AED" w:rsidRDefault="000B6FD2" w:rsidP="00B77A13">
      <w:pPr>
        <w:spacing w:after="120"/>
        <w:rPr>
          <w:rFonts w:asciiTheme="minorHAnsi" w:hAnsiTheme="minorHAnsi"/>
          <w:sz w:val="22"/>
          <w:szCs w:val="22"/>
        </w:rPr>
      </w:pPr>
      <w:r w:rsidRPr="00220AED">
        <w:rPr>
          <w:rFonts w:asciiTheme="minorHAnsi" w:hAnsiTheme="minorHAnsi"/>
          <w:sz w:val="22"/>
          <w:szCs w:val="22"/>
        </w:rPr>
        <w:t xml:space="preserve">To the extent that the Balanced Fund invests into the other Funds, there will be no Supervisor’s fee charged to the Balanced Fund. </w:t>
      </w:r>
    </w:p>
    <w:p w:rsidR="000B6FD2" w:rsidRPr="00220AED" w:rsidRDefault="000B6FD2" w:rsidP="00220AED">
      <w:pPr>
        <w:pStyle w:val="Heading2"/>
        <w:spacing w:after="180"/>
      </w:pPr>
      <w:r w:rsidRPr="00220AED">
        <w:t>Investment manager’s fee</w:t>
      </w:r>
    </w:p>
    <w:p w:rsidR="000B6FD2" w:rsidRPr="00220AED" w:rsidRDefault="000B6FD2" w:rsidP="00220AED">
      <w:pPr>
        <w:spacing w:after="180"/>
        <w:rPr>
          <w:rFonts w:asciiTheme="minorHAnsi" w:hAnsiTheme="minorHAnsi"/>
          <w:sz w:val="22"/>
          <w:szCs w:val="22"/>
        </w:rPr>
      </w:pPr>
      <w:r w:rsidRPr="00220AED">
        <w:rPr>
          <w:rFonts w:asciiTheme="minorHAnsi" w:hAnsiTheme="minorHAnsi"/>
          <w:sz w:val="22"/>
          <w:szCs w:val="22"/>
        </w:rPr>
        <w:t xml:space="preserve">We have appointed Harbour Asset Management Limited to act as investment manager for the Sustainable </w:t>
      </w:r>
      <w:bookmarkStart w:id="28" w:name="OLE_LINK4"/>
      <w:r w:rsidRPr="00220AED">
        <w:rPr>
          <w:rFonts w:asciiTheme="minorHAnsi" w:hAnsiTheme="minorHAnsi"/>
          <w:sz w:val="22"/>
          <w:szCs w:val="22"/>
        </w:rPr>
        <w:t>Australasian</w:t>
      </w:r>
      <w:bookmarkEnd w:id="28"/>
      <w:r w:rsidRPr="00220AED">
        <w:rPr>
          <w:rFonts w:asciiTheme="minorHAnsi" w:hAnsiTheme="minorHAnsi"/>
          <w:sz w:val="22"/>
          <w:szCs w:val="22"/>
        </w:rPr>
        <w:t xml:space="preserve"> Share Fund.  The </w:t>
      </w:r>
      <w:r w:rsidR="0034498F" w:rsidRPr="00220AED">
        <w:rPr>
          <w:rFonts w:asciiTheme="minorHAnsi" w:hAnsiTheme="minorHAnsi"/>
          <w:sz w:val="22"/>
          <w:szCs w:val="22"/>
        </w:rPr>
        <w:t xml:space="preserve">investment manager is </w:t>
      </w:r>
      <w:r w:rsidR="008D1504" w:rsidRPr="00220AED">
        <w:rPr>
          <w:rFonts w:asciiTheme="minorHAnsi" w:hAnsiTheme="minorHAnsi"/>
          <w:sz w:val="22"/>
          <w:szCs w:val="22"/>
        </w:rPr>
        <w:t>entitled</w:t>
      </w:r>
      <w:r w:rsidR="0034498F" w:rsidRPr="00220AED">
        <w:rPr>
          <w:rFonts w:asciiTheme="minorHAnsi" w:hAnsiTheme="minorHAnsi"/>
          <w:sz w:val="22"/>
          <w:szCs w:val="22"/>
        </w:rPr>
        <w:t xml:space="preserve"> to be paid a fee in respect of its services performed for that Fund, which is paid out of that Fund.</w:t>
      </w:r>
      <w:r w:rsidRPr="00220AED">
        <w:rPr>
          <w:rFonts w:asciiTheme="minorHAnsi" w:hAnsiTheme="minorHAnsi"/>
          <w:sz w:val="22"/>
          <w:szCs w:val="22"/>
        </w:rPr>
        <w:t xml:space="preserve"> </w:t>
      </w:r>
    </w:p>
    <w:p w:rsidR="000B6FD2" w:rsidRPr="00220AED" w:rsidRDefault="0034498F" w:rsidP="00220AED">
      <w:pPr>
        <w:spacing w:after="180"/>
        <w:rPr>
          <w:rFonts w:asciiTheme="minorHAnsi" w:hAnsiTheme="minorHAnsi"/>
          <w:sz w:val="22"/>
          <w:szCs w:val="22"/>
        </w:rPr>
      </w:pPr>
      <w:r w:rsidRPr="00220AED">
        <w:rPr>
          <w:rFonts w:asciiTheme="minorHAnsi" w:hAnsiTheme="minorHAnsi"/>
          <w:sz w:val="22"/>
          <w:szCs w:val="22"/>
        </w:rPr>
        <w:t>The investment manager’s</w:t>
      </w:r>
      <w:r w:rsidR="000B6FD2" w:rsidRPr="00220AED">
        <w:rPr>
          <w:rFonts w:asciiTheme="minorHAnsi" w:hAnsiTheme="minorHAnsi"/>
          <w:sz w:val="22"/>
          <w:szCs w:val="22"/>
        </w:rPr>
        <w:t xml:space="preserve"> fee </w:t>
      </w:r>
      <w:r w:rsidRPr="00220AED">
        <w:rPr>
          <w:rFonts w:asciiTheme="minorHAnsi" w:hAnsiTheme="minorHAnsi"/>
          <w:sz w:val="22"/>
          <w:szCs w:val="22"/>
        </w:rPr>
        <w:t>is</w:t>
      </w:r>
      <w:r w:rsidR="000B6FD2" w:rsidRPr="00220AED">
        <w:rPr>
          <w:rFonts w:asciiTheme="minorHAnsi" w:hAnsiTheme="minorHAnsi"/>
          <w:sz w:val="22"/>
          <w:szCs w:val="22"/>
        </w:rPr>
        <w:t xml:space="preserve"> currently 0.345% p</w:t>
      </w:r>
      <w:r w:rsidRPr="00220AED">
        <w:rPr>
          <w:rFonts w:asciiTheme="minorHAnsi" w:hAnsiTheme="minorHAnsi"/>
          <w:sz w:val="22"/>
          <w:szCs w:val="22"/>
        </w:rPr>
        <w:t xml:space="preserve">er </w:t>
      </w:r>
      <w:r w:rsidR="000B6FD2" w:rsidRPr="00220AED">
        <w:rPr>
          <w:rFonts w:asciiTheme="minorHAnsi" w:hAnsiTheme="minorHAnsi"/>
          <w:sz w:val="22"/>
          <w:szCs w:val="22"/>
        </w:rPr>
        <w:t>a</w:t>
      </w:r>
      <w:r w:rsidRPr="00220AED">
        <w:rPr>
          <w:rFonts w:asciiTheme="minorHAnsi" w:hAnsiTheme="minorHAnsi"/>
          <w:sz w:val="22"/>
          <w:szCs w:val="22"/>
        </w:rPr>
        <w:t>nnum</w:t>
      </w:r>
      <w:r w:rsidR="000B6FD2" w:rsidRPr="00220AED">
        <w:rPr>
          <w:rFonts w:asciiTheme="minorHAnsi" w:hAnsiTheme="minorHAnsi"/>
          <w:sz w:val="22"/>
          <w:szCs w:val="22"/>
        </w:rPr>
        <w:t xml:space="preserve"> of the net asset value of that Fund.</w:t>
      </w:r>
      <w:r w:rsidR="00976AAE">
        <w:rPr>
          <w:rFonts w:asciiTheme="minorHAnsi" w:hAnsiTheme="minorHAnsi"/>
          <w:sz w:val="22"/>
          <w:szCs w:val="22"/>
        </w:rPr>
        <w:t xml:space="preserve"> </w:t>
      </w:r>
    </w:p>
    <w:p w:rsidR="0034498F" w:rsidRPr="00220AED" w:rsidRDefault="0034498F" w:rsidP="00220AED">
      <w:pPr>
        <w:pStyle w:val="Heading2"/>
        <w:spacing w:after="180"/>
      </w:pPr>
      <w:r w:rsidRPr="00220AED">
        <w:t>Custodian’s fees</w:t>
      </w:r>
    </w:p>
    <w:p w:rsidR="0034498F" w:rsidRPr="00220AED" w:rsidRDefault="0034498F" w:rsidP="00B77A13">
      <w:pPr>
        <w:spacing w:after="120"/>
        <w:rPr>
          <w:rFonts w:asciiTheme="minorHAnsi" w:hAnsiTheme="minorHAnsi"/>
          <w:sz w:val="22"/>
          <w:szCs w:val="22"/>
        </w:rPr>
      </w:pPr>
      <w:r w:rsidRPr="00220AED">
        <w:rPr>
          <w:rFonts w:asciiTheme="minorHAnsi" w:hAnsiTheme="minorHAnsi"/>
          <w:sz w:val="22"/>
          <w:szCs w:val="22"/>
        </w:rPr>
        <w:t xml:space="preserve">The </w:t>
      </w:r>
      <w:r w:rsidR="00B4077D" w:rsidRPr="00220AED">
        <w:rPr>
          <w:rFonts w:asciiTheme="minorHAnsi" w:hAnsiTheme="minorHAnsi"/>
          <w:sz w:val="22"/>
          <w:szCs w:val="22"/>
        </w:rPr>
        <w:t>C</w:t>
      </w:r>
      <w:r w:rsidRPr="00220AED">
        <w:rPr>
          <w:rFonts w:asciiTheme="minorHAnsi" w:hAnsiTheme="minorHAnsi"/>
          <w:sz w:val="22"/>
          <w:szCs w:val="22"/>
        </w:rPr>
        <w:t>ustodian is entitled to a fee from the Sustainable Australasian Share Fund and the NZ Bond Fund for the safe keeping of the assets of those Funds. The custody fee is paid monthly in arrears from each of those Funds. The custody fee for those Funds currently comprises:</w:t>
      </w:r>
    </w:p>
    <w:p w:rsidR="0034498F" w:rsidRPr="00220AED" w:rsidRDefault="0034498F" w:rsidP="00B77A13">
      <w:pPr>
        <w:numPr>
          <w:ilvl w:val="0"/>
          <w:numId w:val="32"/>
        </w:numPr>
        <w:spacing w:after="120"/>
        <w:ind w:left="567" w:hanging="567"/>
        <w:rPr>
          <w:rFonts w:asciiTheme="minorHAnsi" w:hAnsiTheme="minorHAnsi"/>
          <w:sz w:val="22"/>
          <w:szCs w:val="22"/>
        </w:rPr>
      </w:pPr>
      <w:r w:rsidRPr="00220AED">
        <w:rPr>
          <w:rFonts w:asciiTheme="minorHAnsi" w:hAnsiTheme="minorHAnsi"/>
          <w:sz w:val="22"/>
          <w:szCs w:val="22"/>
        </w:rPr>
        <w:t>Sustainable Australasian Share Fund: 0.05% per annum of the gross asset value of the New Zealand dollar denominated assets of the Fund and 0.06% per annum of the gross asset value of the Australian dollar denominated assets of the Fund; and</w:t>
      </w:r>
    </w:p>
    <w:p w:rsidR="0034498F" w:rsidRPr="00220AED" w:rsidRDefault="0034498F" w:rsidP="00B77A13">
      <w:pPr>
        <w:numPr>
          <w:ilvl w:val="0"/>
          <w:numId w:val="32"/>
        </w:numPr>
        <w:spacing w:after="120"/>
        <w:ind w:left="567" w:hanging="567"/>
        <w:rPr>
          <w:rFonts w:asciiTheme="minorHAnsi" w:hAnsiTheme="minorHAnsi"/>
          <w:sz w:val="22"/>
          <w:szCs w:val="22"/>
        </w:rPr>
      </w:pPr>
      <w:r w:rsidRPr="00220AED">
        <w:rPr>
          <w:rFonts w:asciiTheme="minorHAnsi" w:hAnsiTheme="minorHAnsi"/>
          <w:sz w:val="22"/>
          <w:szCs w:val="22"/>
        </w:rPr>
        <w:t>NZ Bond Fund: 0.04% per annum of the gross asset value of the Fund,</w:t>
      </w:r>
    </w:p>
    <w:p w:rsidR="0034498F" w:rsidRPr="00220AED" w:rsidRDefault="0034498F" w:rsidP="00B77A13">
      <w:pPr>
        <w:spacing w:after="120"/>
        <w:rPr>
          <w:rFonts w:asciiTheme="minorHAnsi" w:hAnsiTheme="minorHAnsi"/>
          <w:sz w:val="22"/>
          <w:szCs w:val="22"/>
        </w:rPr>
      </w:pPr>
      <w:r w:rsidRPr="00220AED">
        <w:rPr>
          <w:rFonts w:asciiTheme="minorHAnsi" w:hAnsiTheme="minorHAnsi"/>
          <w:sz w:val="22"/>
          <w:szCs w:val="22"/>
        </w:rPr>
        <w:t>subject to a minimum annual fee of $5,000. Where the minimum fee applies, it will be charged to the Funds in proportion to the funds under management in each Fund.</w:t>
      </w:r>
      <w:r w:rsidR="00976AAE">
        <w:rPr>
          <w:rFonts w:asciiTheme="minorHAnsi" w:hAnsiTheme="minorHAnsi"/>
          <w:sz w:val="22"/>
          <w:szCs w:val="22"/>
        </w:rPr>
        <w:t xml:space="preserve"> </w:t>
      </w:r>
    </w:p>
    <w:p w:rsidR="00226622" w:rsidRPr="00220AED" w:rsidRDefault="00226622" w:rsidP="00E924F3">
      <w:pPr>
        <w:pStyle w:val="Heading2"/>
        <w:keepNext/>
        <w:keepLines/>
        <w:spacing w:after="180"/>
      </w:pPr>
      <w:r w:rsidRPr="00220AED">
        <w:t xml:space="preserve">Investment in other </w:t>
      </w:r>
      <w:r w:rsidR="0018340A" w:rsidRPr="00220AED">
        <w:t>f</w:t>
      </w:r>
      <w:r w:rsidRPr="00220AED">
        <w:t>unds</w:t>
      </w:r>
    </w:p>
    <w:p w:rsidR="00226622" w:rsidRPr="00220AED" w:rsidRDefault="00226622" w:rsidP="00246982">
      <w:pPr>
        <w:spacing w:after="180"/>
        <w:rPr>
          <w:rFonts w:asciiTheme="minorHAnsi" w:hAnsiTheme="minorHAnsi"/>
          <w:sz w:val="22"/>
          <w:szCs w:val="22"/>
        </w:rPr>
      </w:pPr>
      <w:r w:rsidRPr="00220AED">
        <w:rPr>
          <w:rFonts w:asciiTheme="minorHAnsi" w:hAnsiTheme="minorHAnsi"/>
          <w:sz w:val="22"/>
          <w:szCs w:val="22"/>
        </w:rPr>
        <w:t>The Balanced Fund invests in other Funds.  The International Share Fund and the International Bond Fund (the “</w:t>
      </w:r>
      <w:r w:rsidRPr="00220AED">
        <w:rPr>
          <w:rFonts w:asciiTheme="minorHAnsi" w:hAnsiTheme="minorHAnsi"/>
          <w:b/>
          <w:sz w:val="22"/>
          <w:szCs w:val="22"/>
        </w:rPr>
        <w:t>International Funds</w:t>
      </w:r>
      <w:r w:rsidRPr="00220AED">
        <w:rPr>
          <w:rFonts w:asciiTheme="minorHAnsi" w:hAnsiTheme="minorHAnsi"/>
          <w:sz w:val="22"/>
          <w:szCs w:val="22"/>
        </w:rPr>
        <w:t>”) invest in other funds not connected with the Manager.  In the case of the Balanced Fund, the Manager’s fee and the Supervisor’s fee are reduced to take account of the fees charged to the other Funds in which the Balanced Fund invests.  In the case of the International Funds, the Manager’s fee is reduced by the amount of the management fees charged to the underlying funds in which the International Funds invest.</w:t>
      </w:r>
    </w:p>
    <w:p w:rsidR="00982A36" w:rsidRPr="00220AED" w:rsidRDefault="00A2731D" w:rsidP="00220AED">
      <w:pPr>
        <w:pStyle w:val="Heading2"/>
      </w:pPr>
      <w:r>
        <w:rPr>
          <w:noProof/>
          <w:sz w:val="22"/>
          <w:szCs w:val="22"/>
        </w:rPr>
        <w:pict w14:anchorId="085771F2">
          <v:shape id="Round Diagonal Corner Rectangle 12" o:spid="_x0000_s1035" style="position:absolute;left:0;text-align:left;margin-left:-29.95pt;margin-top:-49.75pt;width:559.5pt;height:804.6pt;rotation:180;flip:x;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r w:rsidR="00982A36" w:rsidRPr="00220AED">
        <w:t>Expenses</w:t>
      </w:r>
    </w:p>
    <w:p w:rsidR="00AD1281" w:rsidRPr="00220AED" w:rsidRDefault="00982A36" w:rsidP="00B77A13">
      <w:pPr>
        <w:spacing w:after="180"/>
        <w:rPr>
          <w:rFonts w:asciiTheme="minorHAnsi" w:hAnsiTheme="minorHAnsi"/>
          <w:b/>
          <w:sz w:val="22"/>
          <w:szCs w:val="22"/>
        </w:rPr>
      </w:pPr>
      <w:r w:rsidRPr="00220AED">
        <w:rPr>
          <w:rFonts w:asciiTheme="minorHAnsi" w:hAnsiTheme="minorHAnsi"/>
          <w:sz w:val="22"/>
          <w:szCs w:val="22"/>
        </w:rPr>
        <w:t xml:space="preserve">The </w:t>
      </w:r>
      <w:r w:rsidR="00AD1281" w:rsidRPr="00220AED">
        <w:rPr>
          <w:rFonts w:asciiTheme="minorHAnsi" w:hAnsiTheme="minorHAnsi"/>
          <w:sz w:val="22"/>
          <w:szCs w:val="22"/>
        </w:rPr>
        <w:t>Manager</w:t>
      </w:r>
      <w:r w:rsidRPr="00220AED">
        <w:rPr>
          <w:rFonts w:asciiTheme="minorHAnsi" w:hAnsiTheme="minorHAnsi"/>
          <w:sz w:val="22"/>
          <w:szCs w:val="22"/>
        </w:rPr>
        <w:t xml:space="preserve"> is entitled to reimbursement of all reasonable expenses incurred by it in the </w:t>
      </w:r>
      <w:r w:rsidR="00AD1281" w:rsidRPr="00220AED">
        <w:rPr>
          <w:rFonts w:asciiTheme="minorHAnsi" w:hAnsiTheme="minorHAnsi"/>
          <w:sz w:val="22"/>
          <w:szCs w:val="22"/>
        </w:rPr>
        <w:t>administration</w:t>
      </w:r>
      <w:r w:rsidRPr="00220AED">
        <w:rPr>
          <w:rFonts w:asciiTheme="minorHAnsi" w:hAnsiTheme="minorHAnsi"/>
          <w:sz w:val="22"/>
          <w:szCs w:val="22"/>
        </w:rPr>
        <w:t xml:space="preserve"> of the Funds</w:t>
      </w:r>
      <w:r w:rsidR="00AD1281" w:rsidRPr="00220AED">
        <w:rPr>
          <w:rFonts w:asciiTheme="minorHAnsi" w:hAnsiTheme="minorHAnsi"/>
          <w:sz w:val="22"/>
          <w:szCs w:val="22"/>
        </w:rPr>
        <w:t xml:space="preserve"> and t</w:t>
      </w:r>
      <w:r w:rsidRPr="00220AED">
        <w:rPr>
          <w:rFonts w:asciiTheme="minorHAnsi" w:hAnsiTheme="minorHAnsi"/>
          <w:sz w:val="22"/>
          <w:szCs w:val="22"/>
        </w:rPr>
        <w:t xml:space="preserve">he </w:t>
      </w:r>
      <w:r w:rsidR="00AD1281" w:rsidRPr="00220AED">
        <w:rPr>
          <w:rFonts w:asciiTheme="minorHAnsi" w:hAnsiTheme="minorHAnsi"/>
          <w:sz w:val="22"/>
          <w:szCs w:val="22"/>
        </w:rPr>
        <w:t>Supervisor</w:t>
      </w:r>
      <w:r w:rsidRPr="00220AED">
        <w:rPr>
          <w:rFonts w:asciiTheme="minorHAnsi" w:hAnsiTheme="minorHAnsi"/>
          <w:sz w:val="22"/>
          <w:szCs w:val="22"/>
        </w:rPr>
        <w:t xml:space="preserve"> is entitled to reimbursement for </w:t>
      </w:r>
      <w:r w:rsidR="00AD1281" w:rsidRPr="00220AED">
        <w:rPr>
          <w:rFonts w:asciiTheme="minorHAnsi" w:hAnsiTheme="minorHAnsi"/>
          <w:sz w:val="22"/>
          <w:szCs w:val="22"/>
        </w:rPr>
        <w:t>all reasonable expenses</w:t>
      </w:r>
      <w:r w:rsidRPr="00220AED">
        <w:rPr>
          <w:rFonts w:asciiTheme="minorHAnsi" w:hAnsiTheme="minorHAnsi"/>
          <w:sz w:val="22"/>
          <w:szCs w:val="22"/>
        </w:rPr>
        <w:t xml:space="preserve"> incurred by it in </w:t>
      </w:r>
      <w:r w:rsidR="00AD1281" w:rsidRPr="00220AED">
        <w:rPr>
          <w:rFonts w:asciiTheme="minorHAnsi" w:hAnsiTheme="minorHAnsi"/>
          <w:sz w:val="22"/>
          <w:szCs w:val="22"/>
        </w:rPr>
        <w:t>the supervision of the Funds</w:t>
      </w:r>
      <w:r w:rsidRPr="00220AED">
        <w:rPr>
          <w:rFonts w:asciiTheme="minorHAnsi" w:hAnsiTheme="minorHAnsi"/>
          <w:sz w:val="22"/>
          <w:szCs w:val="22"/>
        </w:rPr>
        <w:t xml:space="preserve">. These expenses are payable from the relevant Fund, subject to the terms of the Trust Deed. </w:t>
      </w:r>
      <w:r w:rsidR="00AD1281" w:rsidRPr="00220AED">
        <w:rPr>
          <w:rFonts w:asciiTheme="minorHAnsi" w:hAnsiTheme="minorHAnsi"/>
          <w:sz w:val="22"/>
          <w:szCs w:val="22"/>
        </w:rPr>
        <w:t>Reimbursable expenses include those relating to the issue of additional units, the costs of any document in relation to the offer of units in the Funds, the expenses the Manager and the Supervisor incur in carrying out their respective duties under the Trust Deed and the Establishment Deeds, and the costs of carrying out Unit Holders' directions for each of the Funds.</w:t>
      </w:r>
      <w:r w:rsidR="00BD0FDE" w:rsidRPr="00220AED">
        <w:rPr>
          <w:rFonts w:asciiTheme="minorHAnsi" w:hAnsiTheme="minorHAnsi"/>
          <w:sz w:val="22"/>
          <w:szCs w:val="22"/>
        </w:rPr>
        <w:t xml:space="preserve"> </w:t>
      </w:r>
    </w:p>
    <w:p w:rsidR="0051526A" w:rsidRPr="00220AED" w:rsidRDefault="00D81EAC" w:rsidP="00B77A13">
      <w:pPr>
        <w:spacing w:after="180"/>
        <w:rPr>
          <w:rFonts w:asciiTheme="minorHAnsi" w:hAnsiTheme="minorHAnsi"/>
          <w:sz w:val="22"/>
          <w:szCs w:val="22"/>
        </w:rPr>
      </w:pPr>
      <w:r w:rsidRPr="00D81EAC">
        <w:rPr>
          <w:rFonts w:asciiTheme="minorHAnsi" w:hAnsiTheme="minorHAnsi"/>
          <w:sz w:val="22"/>
          <w:szCs w:val="22"/>
        </w:rPr>
        <w:t xml:space="preserve">The Funds will also incur </w:t>
      </w:r>
      <w:r w:rsidR="00DE5F0A" w:rsidRPr="00220AED">
        <w:rPr>
          <w:rFonts w:asciiTheme="minorHAnsi" w:hAnsiTheme="minorHAnsi"/>
          <w:sz w:val="22"/>
          <w:szCs w:val="22"/>
        </w:rPr>
        <w:t xml:space="preserve">trading expenses in respect of the investments </w:t>
      </w:r>
      <w:r w:rsidR="00FE618E" w:rsidRPr="00220AED">
        <w:rPr>
          <w:rFonts w:asciiTheme="minorHAnsi" w:hAnsiTheme="minorHAnsi"/>
          <w:sz w:val="22"/>
          <w:szCs w:val="22"/>
        </w:rPr>
        <w:t>of</w:t>
      </w:r>
      <w:r w:rsidR="00DE5F0A" w:rsidRPr="00220AED">
        <w:rPr>
          <w:rFonts w:asciiTheme="minorHAnsi" w:hAnsiTheme="minorHAnsi"/>
          <w:sz w:val="22"/>
          <w:szCs w:val="22"/>
        </w:rPr>
        <w:t xml:space="preserve"> the Funds (such as brokerage fees and spreads) and, i</w:t>
      </w:r>
      <w:r w:rsidR="00767DEF" w:rsidRPr="00220AED">
        <w:rPr>
          <w:rFonts w:asciiTheme="minorHAnsi" w:hAnsiTheme="minorHAnsi"/>
          <w:sz w:val="22"/>
          <w:szCs w:val="22"/>
        </w:rPr>
        <w:t xml:space="preserve">n the case of the Property Fund, expenses incurred in respect of </w:t>
      </w:r>
      <w:r w:rsidR="00380CDE" w:rsidRPr="00220AED">
        <w:rPr>
          <w:rFonts w:asciiTheme="minorHAnsi" w:hAnsiTheme="minorHAnsi"/>
          <w:sz w:val="22"/>
          <w:szCs w:val="22"/>
        </w:rPr>
        <w:t xml:space="preserve">the </w:t>
      </w:r>
      <w:r w:rsidR="00767DEF" w:rsidRPr="00220AED">
        <w:rPr>
          <w:rFonts w:asciiTheme="minorHAnsi" w:hAnsiTheme="minorHAnsi"/>
          <w:sz w:val="22"/>
          <w:szCs w:val="22"/>
        </w:rPr>
        <w:t>property assets of that Fund (e.g. repairs and maintenance costs, third party agency fees on the disposal of properties)</w:t>
      </w:r>
      <w:r w:rsidR="00380CDE" w:rsidRPr="00220AED">
        <w:rPr>
          <w:rFonts w:asciiTheme="minorHAnsi" w:hAnsiTheme="minorHAnsi"/>
          <w:sz w:val="22"/>
          <w:szCs w:val="22"/>
        </w:rPr>
        <w:t xml:space="preserve"> (together “</w:t>
      </w:r>
      <w:r w:rsidR="00FE618E" w:rsidRPr="00220AED">
        <w:rPr>
          <w:rFonts w:asciiTheme="minorHAnsi" w:hAnsiTheme="minorHAnsi"/>
          <w:b/>
          <w:sz w:val="22"/>
          <w:szCs w:val="22"/>
        </w:rPr>
        <w:t>actual</w:t>
      </w:r>
      <w:r w:rsidR="00380CDE" w:rsidRPr="00220AED">
        <w:rPr>
          <w:rFonts w:asciiTheme="minorHAnsi" w:hAnsiTheme="minorHAnsi"/>
          <w:b/>
          <w:sz w:val="22"/>
          <w:szCs w:val="22"/>
        </w:rPr>
        <w:t xml:space="preserve"> investment expenses</w:t>
      </w:r>
      <w:r w:rsidR="00380CDE" w:rsidRPr="00220AED">
        <w:rPr>
          <w:rFonts w:asciiTheme="minorHAnsi" w:hAnsiTheme="minorHAnsi"/>
          <w:sz w:val="22"/>
          <w:szCs w:val="22"/>
        </w:rPr>
        <w:t>”)</w:t>
      </w:r>
      <w:r w:rsidR="00767DEF" w:rsidRPr="00220AED">
        <w:rPr>
          <w:rFonts w:asciiTheme="minorHAnsi" w:hAnsiTheme="minorHAnsi"/>
          <w:sz w:val="22"/>
          <w:szCs w:val="22"/>
        </w:rPr>
        <w:t>.</w:t>
      </w:r>
    </w:p>
    <w:p w:rsidR="00DE5F0A" w:rsidRPr="00220AED" w:rsidRDefault="00AD1281" w:rsidP="00B77A13">
      <w:pPr>
        <w:spacing w:after="180"/>
        <w:rPr>
          <w:rFonts w:asciiTheme="minorHAnsi" w:hAnsiTheme="minorHAnsi"/>
          <w:sz w:val="22"/>
          <w:szCs w:val="22"/>
        </w:rPr>
      </w:pPr>
      <w:r w:rsidRPr="00220AED">
        <w:rPr>
          <w:rFonts w:asciiTheme="minorHAnsi" w:hAnsiTheme="minorHAnsi"/>
          <w:sz w:val="22"/>
          <w:szCs w:val="22"/>
        </w:rPr>
        <w:t>There is no limit on the amount of reimbursement of expenses to which the Manager</w:t>
      </w:r>
      <w:r w:rsidR="00982A36" w:rsidRPr="00220AED">
        <w:rPr>
          <w:rFonts w:asciiTheme="minorHAnsi" w:hAnsiTheme="minorHAnsi"/>
          <w:sz w:val="22"/>
          <w:szCs w:val="22"/>
        </w:rPr>
        <w:t xml:space="preserve"> </w:t>
      </w:r>
      <w:r w:rsidRPr="00220AED">
        <w:rPr>
          <w:rFonts w:asciiTheme="minorHAnsi" w:hAnsiTheme="minorHAnsi"/>
          <w:sz w:val="22"/>
          <w:szCs w:val="22"/>
        </w:rPr>
        <w:t xml:space="preserve">and the Supervisor are entitled. </w:t>
      </w:r>
    </w:p>
    <w:p w:rsidR="00982A36" w:rsidRPr="00220AED" w:rsidRDefault="00AD1281" w:rsidP="00B77A13">
      <w:pPr>
        <w:spacing w:after="180"/>
        <w:rPr>
          <w:rFonts w:asciiTheme="minorHAnsi" w:hAnsiTheme="minorHAnsi"/>
          <w:sz w:val="22"/>
          <w:szCs w:val="22"/>
        </w:rPr>
      </w:pPr>
      <w:r w:rsidRPr="00220AED">
        <w:rPr>
          <w:rFonts w:asciiTheme="minorHAnsi" w:hAnsiTheme="minorHAnsi"/>
          <w:sz w:val="22"/>
          <w:szCs w:val="22"/>
        </w:rPr>
        <w:t xml:space="preserve">The payment of these expenses </w:t>
      </w:r>
      <w:r w:rsidR="00380CDE" w:rsidRPr="00220AED">
        <w:rPr>
          <w:rFonts w:asciiTheme="minorHAnsi" w:hAnsiTheme="minorHAnsi"/>
          <w:sz w:val="22"/>
          <w:szCs w:val="22"/>
        </w:rPr>
        <w:t xml:space="preserve">(excluding </w:t>
      </w:r>
      <w:r w:rsidR="00FE618E" w:rsidRPr="00220AED">
        <w:rPr>
          <w:rFonts w:asciiTheme="minorHAnsi" w:hAnsiTheme="minorHAnsi"/>
          <w:sz w:val="22"/>
          <w:szCs w:val="22"/>
        </w:rPr>
        <w:t>actual</w:t>
      </w:r>
      <w:r w:rsidR="00380CDE" w:rsidRPr="00220AED">
        <w:rPr>
          <w:rFonts w:asciiTheme="minorHAnsi" w:hAnsiTheme="minorHAnsi"/>
          <w:sz w:val="22"/>
          <w:szCs w:val="22"/>
        </w:rPr>
        <w:t xml:space="preserve"> investment expenses) </w:t>
      </w:r>
      <w:r w:rsidRPr="00220AED">
        <w:rPr>
          <w:rFonts w:asciiTheme="minorHAnsi" w:hAnsiTheme="minorHAnsi"/>
          <w:sz w:val="22"/>
          <w:szCs w:val="22"/>
        </w:rPr>
        <w:t xml:space="preserve">is included </w:t>
      </w:r>
      <w:r w:rsidR="00E41398" w:rsidRPr="00220AED">
        <w:rPr>
          <w:rFonts w:asciiTheme="minorHAnsi" w:hAnsiTheme="minorHAnsi"/>
          <w:sz w:val="22"/>
          <w:szCs w:val="22"/>
        </w:rPr>
        <w:t xml:space="preserve">as part of the ‘administration charges’ </w:t>
      </w:r>
      <w:r w:rsidRPr="00220AED">
        <w:rPr>
          <w:rFonts w:asciiTheme="minorHAnsi" w:hAnsiTheme="minorHAnsi"/>
          <w:sz w:val="22"/>
          <w:szCs w:val="22"/>
        </w:rPr>
        <w:t xml:space="preserve">in the </w:t>
      </w:r>
      <w:r w:rsidR="00E41398" w:rsidRPr="00220AED">
        <w:rPr>
          <w:rFonts w:asciiTheme="minorHAnsi" w:hAnsiTheme="minorHAnsi"/>
          <w:sz w:val="22"/>
          <w:szCs w:val="22"/>
        </w:rPr>
        <w:t>‘</w:t>
      </w:r>
      <w:r w:rsidRPr="00220AED">
        <w:rPr>
          <w:rFonts w:asciiTheme="minorHAnsi" w:hAnsiTheme="minorHAnsi"/>
          <w:sz w:val="22"/>
          <w:szCs w:val="22"/>
        </w:rPr>
        <w:t>fund charges</w:t>
      </w:r>
      <w:r w:rsidR="00E41398" w:rsidRPr="00220AED">
        <w:rPr>
          <w:rFonts w:asciiTheme="minorHAnsi" w:hAnsiTheme="minorHAnsi"/>
          <w:sz w:val="22"/>
          <w:szCs w:val="22"/>
        </w:rPr>
        <w:t>’</w:t>
      </w:r>
      <w:r w:rsidRPr="00220AED">
        <w:rPr>
          <w:rFonts w:asciiTheme="minorHAnsi" w:hAnsiTheme="minorHAnsi"/>
          <w:sz w:val="22"/>
          <w:szCs w:val="22"/>
        </w:rPr>
        <w:t xml:space="preserve"> for which an estimate is provided in the PDS and that will be disclosed in the fund updates (once available) and on the offer register at</w:t>
      </w:r>
      <w:r w:rsidR="00976AAE">
        <w:rPr>
          <w:rStyle w:val="Hyperlink"/>
          <w:rFonts w:asciiTheme="minorHAnsi" w:hAnsiTheme="minorHAnsi"/>
          <w:sz w:val="22"/>
          <w:szCs w:val="22"/>
        </w:rPr>
        <w:t xml:space="preserve"> </w:t>
      </w:r>
      <w:hyperlink r:id="rId17" w:history="1">
        <w:r w:rsidR="00976AAE" w:rsidRPr="00BE259D">
          <w:rPr>
            <w:rStyle w:val="Hyperlink"/>
            <w:rFonts w:asciiTheme="minorHAnsi" w:hAnsiTheme="minorHAnsi"/>
            <w:sz w:val="22"/>
            <w:szCs w:val="22"/>
          </w:rPr>
          <w:t>https://disclose-register.companiesoffice.govt.nz</w:t>
        </w:r>
      </w:hyperlink>
      <w:r w:rsidRPr="00220AED">
        <w:rPr>
          <w:rFonts w:asciiTheme="minorHAnsi" w:hAnsiTheme="minorHAnsi"/>
          <w:sz w:val="22"/>
          <w:szCs w:val="22"/>
        </w:rPr>
        <w:t>.</w:t>
      </w:r>
      <w:r w:rsidR="00F6440E">
        <w:rPr>
          <w:rFonts w:asciiTheme="minorHAnsi" w:hAnsiTheme="minorHAnsi"/>
          <w:sz w:val="22"/>
          <w:szCs w:val="22"/>
        </w:rPr>
        <w:t xml:space="preserve"> </w:t>
      </w:r>
      <w:r w:rsidRPr="00220AED">
        <w:rPr>
          <w:rFonts w:asciiTheme="minorHAnsi" w:hAnsiTheme="minorHAnsi"/>
          <w:sz w:val="22"/>
          <w:szCs w:val="22"/>
        </w:rPr>
        <w:t xml:space="preserve"> </w:t>
      </w:r>
    </w:p>
    <w:p w:rsidR="00233D5C" w:rsidRPr="00220AED" w:rsidRDefault="00145C1B" w:rsidP="005D607B">
      <w:pPr>
        <w:pStyle w:val="Heading2"/>
        <w:spacing w:before="240"/>
      </w:pPr>
      <w:r w:rsidRPr="00220AED">
        <w:t>Basis for estimates of fund charges in PDS</w:t>
      </w:r>
    </w:p>
    <w:p w:rsidR="00E51812" w:rsidRPr="00220AED" w:rsidRDefault="00402941" w:rsidP="00D81EAC">
      <w:pPr>
        <w:spacing w:after="120"/>
        <w:rPr>
          <w:rFonts w:asciiTheme="minorHAnsi" w:hAnsiTheme="minorHAnsi"/>
          <w:sz w:val="22"/>
          <w:szCs w:val="22"/>
        </w:rPr>
      </w:pPr>
      <w:r w:rsidRPr="00220AED">
        <w:rPr>
          <w:rFonts w:asciiTheme="minorHAnsi" w:hAnsiTheme="minorHAnsi"/>
          <w:sz w:val="22"/>
          <w:szCs w:val="22"/>
        </w:rPr>
        <w:t xml:space="preserve">Included in the PDS are ‘total annual fund charges’, which include estimates of </w:t>
      </w:r>
      <w:r w:rsidR="00DE5F0A" w:rsidRPr="00220AED">
        <w:rPr>
          <w:rFonts w:asciiTheme="minorHAnsi" w:hAnsiTheme="minorHAnsi"/>
          <w:sz w:val="22"/>
          <w:szCs w:val="22"/>
        </w:rPr>
        <w:t xml:space="preserve">administration charges </w:t>
      </w:r>
      <w:r w:rsidRPr="00220AED">
        <w:rPr>
          <w:rFonts w:asciiTheme="minorHAnsi" w:hAnsiTheme="minorHAnsi"/>
          <w:sz w:val="22"/>
          <w:szCs w:val="22"/>
        </w:rPr>
        <w:t>for each Fund and leasing</w:t>
      </w:r>
      <w:r w:rsidR="00E51812" w:rsidRPr="00220AED">
        <w:rPr>
          <w:rFonts w:asciiTheme="minorHAnsi" w:hAnsiTheme="minorHAnsi"/>
          <w:sz w:val="22"/>
          <w:szCs w:val="22"/>
        </w:rPr>
        <w:t>,</w:t>
      </w:r>
      <w:r w:rsidRPr="00220AED">
        <w:rPr>
          <w:rFonts w:asciiTheme="minorHAnsi" w:hAnsiTheme="minorHAnsi"/>
          <w:sz w:val="22"/>
          <w:szCs w:val="22"/>
        </w:rPr>
        <w:t xml:space="preserve"> rent review </w:t>
      </w:r>
      <w:r w:rsidR="00E51812" w:rsidRPr="00220AED">
        <w:rPr>
          <w:rFonts w:asciiTheme="minorHAnsi" w:hAnsiTheme="minorHAnsi"/>
          <w:sz w:val="22"/>
          <w:szCs w:val="22"/>
        </w:rPr>
        <w:t xml:space="preserve">and special projects </w:t>
      </w:r>
      <w:r w:rsidRPr="00220AED">
        <w:rPr>
          <w:rFonts w:asciiTheme="minorHAnsi" w:hAnsiTheme="minorHAnsi"/>
          <w:sz w:val="22"/>
          <w:szCs w:val="22"/>
        </w:rPr>
        <w:t xml:space="preserve">fees for the Property Fund. </w:t>
      </w:r>
    </w:p>
    <w:p w:rsidR="00037100" w:rsidRPr="00B77A13" w:rsidRDefault="00DE5F0A" w:rsidP="00D81EAC">
      <w:pPr>
        <w:spacing w:after="120"/>
        <w:rPr>
          <w:rFonts w:asciiTheme="minorHAnsi" w:hAnsiTheme="minorHAnsi"/>
          <w:b/>
          <w:i/>
          <w:sz w:val="22"/>
          <w:szCs w:val="22"/>
        </w:rPr>
      </w:pPr>
      <w:r w:rsidRPr="00B77A13">
        <w:rPr>
          <w:rFonts w:asciiTheme="minorHAnsi" w:hAnsiTheme="minorHAnsi"/>
          <w:b/>
          <w:i/>
          <w:sz w:val="22"/>
          <w:szCs w:val="22"/>
        </w:rPr>
        <w:t>Administration charges</w:t>
      </w:r>
    </w:p>
    <w:p w:rsidR="00E41398" w:rsidRPr="00220AED" w:rsidRDefault="00E41398" w:rsidP="00D81EAC">
      <w:pPr>
        <w:spacing w:after="120"/>
        <w:rPr>
          <w:rFonts w:asciiTheme="minorHAnsi" w:hAnsiTheme="minorHAnsi"/>
          <w:sz w:val="22"/>
          <w:szCs w:val="22"/>
        </w:rPr>
      </w:pPr>
      <w:r w:rsidRPr="00220AED">
        <w:rPr>
          <w:rFonts w:asciiTheme="minorHAnsi" w:hAnsiTheme="minorHAnsi"/>
          <w:sz w:val="22"/>
          <w:szCs w:val="22"/>
        </w:rPr>
        <w:t xml:space="preserve">The administration charges cover the </w:t>
      </w:r>
      <w:r w:rsidR="00B82362" w:rsidRPr="00220AED">
        <w:rPr>
          <w:rFonts w:asciiTheme="minorHAnsi" w:hAnsiTheme="minorHAnsi"/>
          <w:sz w:val="22"/>
          <w:szCs w:val="22"/>
        </w:rPr>
        <w:t xml:space="preserve">fees and costs charged in the </w:t>
      </w:r>
      <w:r w:rsidRPr="00220AED">
        <w:rPr>
          <w:rFonts w:asciiTheme="minorHAnsi" w:hAnsiTheme="minorHAnsi"/>
          <w:sz w:val="22"/>
          <w:szCs w:val="22"/>
        </w:rPr>
        <w:t xml:space="preserve">general </w:t>
      </w:r>
      <w:r w:rsidR="00B82362" w:rsidRPr="00220AED">
        <w:rPr>
          <w:rFonts w:asciiTheme="minorHAnsi" w:hAnsiTheme="minorHAnsi"/>
          <w:sz w:val="22"/>
          <w:szCs w:val="22"/>
        </w:rPr>
        <w:t>management</w:t>
      </w:r>
      <w:r w:rsidRPr="00220AED">
        <w:rPr>
          <w:rFonts w:asciiTheme="minorHAnsi" w:hAnsiTheme="minorHAnsi"/>
          <w:sz w:val="22"/>
          <w:szCs w:val="22"/>
        </w:rPr>
        <w:t xml:space="preserve"> of each Fund, e.g. supervisor, legal, audit, accounting and custodial fees and annual FMA levies, and any such </w:t>
      </w:r>
      <w:r w:rsidR="00B82362" w:rsidRPr="00220AED">
        <w:rPr>
          <w:rFonts w:asciiTheme="minorHAnsi" w:hAnsiTheme="minorHAnsi"/>
          <w:sz w:val="22"/>
          <w:szCs w:val="22"/>
        </w:rPr>
        <w:t>fees and costs</w:t>
      </w:r>
      <w:r w:rsidRPr="00220AED">
        <w:rPr>
          <w:rFonts w:asciiTheme="minorHAnsi" w:hAnsiTheme="minorHAnsi"/>
          <w:sz w:val="22"/>
          <w:szCs w:val="22"/>
        </w:rPr>
        <w:t xml:space="preserve"> charged by underlying funds into which the Funds invest. </w:t>
      </w:r>
    </w:p>
    <w:p w:rsidR="00402941" w:rsidRPr="00220AED" w:rsidRDefault="00402941" w:rsidP="00D81EAC">
      <w:pPr>
        <w:spacing w:after="120"/>
        <w:rPr>
          <w:rFonts w:asciiTheme="minorHAnsi" w:hAnsiTheme="minorHAnsi"/>
          <w:sz w:val="22"/>
          <w:szCs w:val="22"/>
        </w:rPr>
      </w:pPr>
      <w:r w:rsidRPr="00220AED">
        <w:rPr>
          <w:rFonts w:asciiTheme="minorHAnsi" w:hAnsiTheme="minorHAnsi"/>
          <w:sz w:val="22"/>
          <w:szCs w:val="22"/>
        </w:rPr>
        <w:t xml:space="preserve">We have assumed </w:t>
      </w:r>
      <w:r w:rsidR="00B82362" w:rsidRPr="00220AED">
        <w:rPr>
          <w:rFonts w:asciiTheme="minorHAnsi" w:hAnsiTheme="minorHAnsi"/>
          <w:sz w:val="22"/>
          <w:szCs w:val="22"/>
        </w:rPr>
        <w:t xml:space="preserve">these fees and costs </w:t>
      </w:r>
      <w:r w:rsidR="00E51812" w:rsidRPr="00220AED">
        <w:rPr>
          <w:rFonts w:asciiTheme="minorHAnsi" w:hAnsiTheme="minorHAnsi"/>
          <w:sz w:val="22"/>
          <w:szCs w:val="22"/>
        </w:rPr>
        <w:t xml:space="preserve">for each Fund </w:t>
      </w:r>
      <w:r w:rsidRPr="00220AED">
        <w:rPr>
          <w:rFonts w:asciiTheme="minorHAnsi" w:hAnsiTheme="minorHAnsi"/>
          <w:sz w:val="22"/>
          <w:szCs w:val="22"/>
        </w:rPr>
        <w:t xml:space="preserve">will not materially change from year to year. In preparing the estimates </w:t>
      </w:r>
      <w:r w:rsidR="00B82362" w:rsidRPr="00220AED">
        <w:rPr>
          <w:rFonts w:asciiTheme="minorHAnsi" w:hAnsiTheme="minorHAnsi"/>
          <w:sz w:val="22"/>
          <w:szCs w:val="22"/>
        </w:rPr>
        <w:t xml:space="preserve">of these fees and costs </w:t>
      </w:r>
      <w:r w:rsidRPr="00220AED">
        <w:rPr>
          <w:rFonts w:asciiTheme="minorHAnsi" w:hAnsiTheme="minorHAnsi"/>
          <w:sz w:val="22"/>
          <w:szCs w:val="22"/>
        </w:rPr>
        <w:t xml:space="preserve">we based them on the </w:t>
      </w:r>
      <w:r w:rsidR="00B82362" w:rsidRPr="00220AED">
        <w:rPr>
          <w:rFonts w:asciiTheme="minorHAnsi" w:hAnsiTheme="minorHAnsi"/>
          <w:sz w:val="22"/>
          <w:szCs w:val="22"/>
        </w:rPr>
        <w:t xml:space="preserve">equivalent charges </w:t>
      </w:r>
      <w:r w:rsidRPr="00220AED">
        <w:rPr>
          <w:rFonts w:asciiTheme="minorHAnsi" w:hAnsiTheme="minorHAnsi"/>
          <w:sz w:val="22"/>
          <w:szCs w:val="22"/>
        </w:rPr>
        <w:t>incurred by each Fund in the previous financial year including audit and legal fees.</w:t>
      </w:r>
    </w:p>
    <w:p w:rsidR="00037100" w:rsidRPr="00B77A13" w:rsidRDefault="00037100" w:rsidP="00D81EAC">
      <w:pPr>
        <w:spacing w:after="120"/>
        <w:rPr>
          <w:rFonts w:asciiTheme="minorHAnsi" w:hAnsiTheme="minorHAnsi"/>
          <w:b/>
          <w:i/>
          <w:sz w:val="22"/>
          <w:szCs w:val="22"/>
        </w:rPr>
      </w:pPr>
      <w:r w:rsidRPr="00B77A13">
        <w:rPr>
          <w:rFonts w:asciiTheme="minorHAnsi" w:hAnsiTheme="minorHAnsi"/>
          <w:b/>
          <w:i/>
          <w:sz w:val="22"/>
          <w:szCs w:val="22"/>
        </w:rPr>
        <w:t>Property Fund</w:t>
      </w:r>
    </w:p>
    <w:p w:rsidR="00037100" w:rsidRPr="00220AED" w:rsidRDefault="0058144A" w:rsidP="00D81EAC">
      <w:pPr>
        <w:spacing w:after="120"/>
        <w:rPr>
          <w:rFonts w:asciiTheme="minorHAnsi" w:hAnsiTheme="minorHAnsi"/>
          <w:sz w:val="22"/>
          <w:szCs w:val="22"/>
        </w:rPr>
      </w:pPr>
      <w:r w:rsidRPr="00220AED">
        <w:rPr>
          <w:rFonts w:asciiTheme="minorHAnsi" w:hAnsiTheme="minorHAnsi"/>
          <w:sz w:val="22"/>
          <w:szCs w:val="22"/>
        </w:rPr>
        <w:t>Within the Property Fund, we may earn fees for negotiation of a rent review or re-leasing of a property</w:t>
      </w:r>
      <w:r w:rsidR="00037100" w:rsidRPr="00220AED">
        <w:rPr>
          <w:rFonts w:asciiTheme="minorHAnsi" w:hAnsiTheme="minorHAnsi"/>
          <w:sz w:val="22"/>
          <w:szCs w:val="22"/>
        </w:rPr>
        <w:t xml:space="preserve"> or for special projects relating to the acquisition or sale of a property</w:t>
      </w:r>
      <w:r w:rsidRPr="00220AED">
        <w:rPr>
          <w:rFonts w:asciiTheme="minorHAnsi" w:hAnsiTheme="minorHAnsi"/>
          <w:sz w:val="22"/>
          <w:szCs w:val="22"/>
        </w:rPr>
        <w:t xml:space="preserve">. Such fees are one-off and are event driven, rather than regular fees. </w:t>
      </w:r>
    </w:p>
    <w:p w:rsidR="00402941" w:rsidRPr="00220AED" w:rsidRDefault="0058144A" w:rsidP="00D81EAC">
      <w:pPr>
        <w:spacing w:after="120"/>
        <w:rPr>
          <w:rFonts w:asciiTheme="minorHAnsi" w:hAnsiTheme="minorHAnsi"/>
          <w:sz w:val="22"/>
          <w:szCs w:val="22"/>
        </w:rPr>
      </w:pPr>
      <w:r w:rsidRPr="00220AED">
        <w:rPr>
          <w:rFonts w:asciiTheme="minorHAnsi" w:hAnsiTheme="minorHAnsi"/>
          <w:sz w:val="22"/>
          <w:szCs w:val="22"/>
        </w:rPr>
        <w:t xml:space="preserve">When </w:t>
      </w:r>
      <w:r w:rsidR="00037100" w:rsidRPr="00220AED">
        <w:rPr>
          <w:rFonts w:asciiTheme="minorHAnsi" w:hAnsiTheme="minorHAnsi"/>
          <w:sz w:val="22"/>
          <w:szCs w:val="22"/>
        </w:rPr>
        <w:t xml:space="preserve">rent review or re-leasing fees are </w:t>
      </w:r>
      <w:r w:rsidRPr="00220AED">
        <w:rPr>
          <w:rFonts w:asciiTheme="minorHAnsi" w:hAnsiTheme="minorHAnsi"/>
          <w:sz w:val="22"/>
          <w:szCs w:val="22"/>
        </w:rPr>
        <w:t xml:space="preserve">earned, </w:t>
      </w:r>
      <w:r w:rsidR="00037100" w:rsidRPr="00220AED">
        <w:rPr>
          <w:rFonts w:asciiTheme="minorHAnsi" w:hAnsiTheme="minorHAnsi"/>
          <w:sz w:val="22"/>
          <w:szCs w:val="22"/>
        </w:rPr>
        <w:t>they</w:t>
      </w:r>
      <w:r w:rsidRPr="00220AED">
        <w:rPr>
          <w:rFonts w:asciiTheme="minorHAnsi" w:hAnsiTheme="minorHAnsi"/>
          <w:sz w:val="22"/>
          <w:szCs w:val="22"/>
        </w:rPr>
        <w:t xml:space="preserve"> are spread (amortised) over the life of the relevant lease.</w:t>
      </w:r>
      <w:r w:rsidR="00E71E75" w:rsidRPr="00220AED">
        <w:rPr>
          <w:rFonts w:asciiTheme="minorHAnsi" w:hAnsiTheme="minorHAnsi"/>
          <w:sz w:val="22"/>
          <w:szCs w:val="22"/>
        </w:rPr>
        <w:t xml:space="preserve"> We have assumed </w:t>
      </w:r>
      <w:r w:rsidR="00D81EAC" w:rsidRPr="00D81EAC">
        <w:rPr>
          <w:rFonts w:asciiTheme="minorHAnsi" w:hAnsiTheme="minorHAnsi"/>
          <w:sz w:val="22"/>
          <w:szCs w:val="22"/>
        </w:rPr>
        <w:t>the amount of these</w:t>
      </w:r>
      <w:r w:rsidR="00E71E75" w:rsidRPr="00220AED">
        <w:rPr>
          <w:rFonts w:asciiTheme="minorHAnsi" w:hAnsiTheme="minorHAnsi"/>
          <w:sz w:val="22"/>
          <w:szCs w:val="22"/>
        </w:rPr>
        <w:t xml:space="preserve"> fees will not materially change from year to year and have based the estimates of these fees included in the total annual fund charge for the Property Fund on the same level of such fees amortised by that Fund in the previous financial year.</w:t>
      </w:r>
    </w:p>
    <w:p w:rsidR="00D81EAC" w:rsidRPr="00D81EAC" w:rsidRDefault="00D81EAC" w:rsidP="00D81EAC">
      <w:pPr>
        <w:spacing w:after="120"/>
        <w:rPr>
          <w:rFonts w:asciiTheme="minorHAnsi" w:hAnsiTheme="minorHAnsi"/>
          <w:sz w:val="22"/>
          <w:szCs w:val="22"/>
        </w:rPr>
      </w:pPr>
      <w:r w:rsidRPr="00D81EAC">
        <w:rPr>
          <w:rFonts w:asciiTheme="minorHAnsi" w:hAnsiTheme="minorHAnsi"/>
          <w:sz w:val="22"/>
          <w:szCs w:val="22"/>
        </w:rPr>
        <w:t>We may also charge special projects fee</w:t>
      </w:r>
      <w:r w:rsidR="00267428">
        <w:rPr>
          <w:rFonts w:asciiTheme="minorHAnsi" w:hAnsiTheme="minorHAnsi"/>
          <w:sz w:val="22"/>
          <w:szCs w:val="22"/>
        </w:rPr>
        <w:t>s</w:t>
      </w:r>
      <w:r w:rsidRPr="00D81EAC">
        <w:rPr>
          <w:rFonts w:asciiTheme="minorHAnsi" w:hAnsiTheme="minorHAnsi"/>
          <w:sz w:val="22"/>
          <w:szCs w:val="22"/>
        </w:rPr>
        <w:t xml:space="preserve"> </w:t>
      </w:r>
      <w:r w:rsidR="00267428">
        <w:rPr>
          <w:rFonts w:asciiTheme="minorHAnsi" w:hAnsiTheme="minorHAnsi"/>
          <w:sz w:val="22"/>
          <w:szCs w:val="22"/>
        </w:rPr>
        <w:t xml:space="preserve">for special projects </w:t>
      </w:r>
      <w:r w:rsidRPr="00D81EAC">
        <w:rPr>
          <w:rFonts w:asciiTheme="minorHAnsi" w:hAnsiTheme="minorHAnsi"/>
          <w:sz w:val="22"/>
          <w:szCs w:val="22"/>
        </w:rPr>
        <w:t xml:space="preserve">in relation to the acquisition or sale of a property. The fund charges in the PDS </w:t>
      </w:r>
      <w:r w:rsidR="00501A3F">
        <w:rPr>
          <w:rFonts w:asciiTheme="minorHAnsi" w:hAnsiTheme="minorHAnsi"/>
          <w:sz w:val="22"/>
          <w:szCs w:val="22"/>
        </w:rPr>
        <w:t>ex</w:t>
      </w:r>
      <w:r w:rsidR="00501A3F" w:rsidRPr="00D81EAC">
        <w:rPr>
          <w:rFonts w:asciiTheme="minorHAnsi" w:hAnsiTheme="minorHAnsi"/>
          <w:sz w:val="22"/>
          <w:szCs w:val="22"/>
        </w:rPr>
        <w:t xml:space="preserve">clude </w:t>
      </w:r>
      <w:r w:rsidRPr="00D81EAC">
        <w:rPr>
          <w:rFonts w:asciiTheme="minorHAnsi" w:hAnsiTheme="minorHAnsi"/>
          <w:sz w:val="22"/>
          <w:szCs w:val="22"/>
        </w:rPr>
        <w:t xml:space="preserve">an estimate for special projects fees, based on the one-off nature of these fees, the information available to us as </w:t>
      </w:r>
      <w:r w:rsidR="000E5FC5">
        <w:rPr>
          <w:rFonts w:asciiTheme="minorHAnsi" w:hAnsiTheme="minorHAnsi"/>
          <w:sz w:val="22"/>
          <w:szCs w:val="22"/>
        </w:rPr>
        <w:t>M</w:t>
      </w:r>
      <w:r w:rsidR="000E5FC5" w:rsidRPr="00D81EAC">
        <w:rPr>
          <w:rFonts w:asciiTheme="minorHAnsi" w:hAnsiTheme="minorHAnsi"/>
          <w:sz w:val="22"/>
          <w:szCs w:val="22"/>
        </w:rPr>
        <w:t xml:space="preserve">anager </w:t>
      </w:r>
      <w:r w:rsidRPr="00D81EAC">
        <w:rPr>
          <w:rFonts w:asciiTheme="minorHAnsi" w:hAnsiTheme="minorHAnsi"/>
          <w:sz w:val="22"/>
          <w:szCs w:val="22"/>
        </w:rPr>
        <w:t xml:space="preserve">of the Fund as at the date of this document and the degree of uncertainty that any such fees will be charged in the next 12 months. There is no guarantee, however, that special projects fees will not be charged in the future </w:t>
      </w:r>
      <w:r w:rsidR="00065FE9">
        <w:rPr>
          <w:rFonts w:asciiTheme="minorHAnsi" w:hAnsiTheme="minorHAnsi"/>
          <w:sz w:val="22"/>
          <w:szCs w:val="22"/>
        </w:rPr>
        <w:t>or that</w:t>
      </w:r>
      <w:r w:rsidR="00065FE9" w:rsidRPr="00D81EAC">
        <w:rPr>
          <w:rFonts w:asciiTheme="minorHAnsi" w:hAnsiTheme="minorHAnsi"/>
          <w:sz w:val="22"/>
          <w:szCs w:val="22"/>
        </w:rPr>
        <w:t xml:space="preserve"> </w:t>
      </w:r>
      <w:r w:rsidRPr="00D81EAC">
        <w:rPr>
          <w:rFonts w:asciiTheme="minorHAnsi" w:hAnsiTheme="minorHAnsi"/>
          <w:sz w:val="22"/>
          <w:szCs w:val="22"/>
        </w:rPr>
        <w:t>any actual fees charged will vary from this estimate.</w:t>
      </w:r>
    </w:p>
    <w:p w:rsidR="0034498F" w:rsidRPr="00220AED" w:rsidRDefault="0034498F" w:rsidP="00B77A13">
      <w:pPr>
        <w:spacing w:after="180"/>
        <w:rPr>
          <w:rFonts w:asciiTheme="minorHAnsi" w:hAnsiTheme="minorHAnsi"/>
          <w:b/>
          <w:sz w:val="22"/>
          <w:szCs w:val="22"/>
        </w:rPr>
      </w:pPr>
      <w:r w:rsidRPr="00220AED">
        <w:rPr>
          <w:rFonts w:asciiTheme="minorHAnsi" w:hAnsiTheme="minorHAnsi"/>
          <w:b/>
          <w:sz w:val="22"/>
          <w:szCs w:val="22"/>
        </w:rPr>
        <w:t>GST</w:t>
      </w:r>
    </w:p>
    <w:p w:rsidR="0021271B" w:rsidRPr="0021271B" w:rsidRDefault="0034498F" w:rsidP="00B77A13">
      <w:pPr>
        <w:spacing w:after="180"/>
        <w:rPr>
          <w:rFonts w:asciiTheme="minorHAnsi" w:hAnsiTheme="minorHAnsi"/>
          <w:sz w:val="22"/>
          <w:szCs w:val="22"/>
        </w:rPr>
      </w:pPr>
      <w:r w:rsidRPr="00220AED">
        <w:rPr>
          <w:rFonts w:asciiTheme="minorHAnsi" w:hAnsiTheme="minorHAnsi"/>
          <w:sz w:val="22"/>
          <w:szCs w:val="22"/>
        </w:rPr>
        <w:t>Goods and services tax (GST) is not included in any of the stated fees. GST will be added to any fees where applicable.</w:t>
      </w:r>
    </w:p>
    <w:p w:rsidR="00784025" w:rsidRPr="000C7723" w:rsidRDefault="00A2731D" w:rsidP="00012AE1">
      <w:pPr>
        <w:pStyle w:val="Heading1"/>
      </w:pPr>
      <w:bookmarkStart w:id="29" w:name="_Toc34647178"/>
      <w:bookmarkStart w:id="30" w:name="_Toc34916727"/>
      <w:r>
        <w:rPr>
          <w:rFonts w:cs="Arial"/>
          <w:b w:val="0"/>
          <w:noProof/>
          <w:sz w:val="22"/>
          <w:szCs w:val="22"/>
        </w:rPr>
        <w:pict w14:anchorId="29E3AAAB">
          <v:shape id="_x0000_s1034" style="position:absolute;left:0;text-align:left;margin-left:-31.55pt;margin-top:-45.4pt;width:559.5pt;height:804.6pt;rotation:180;flip:x;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r w:rsidR="00CE5DE2">
        <w:t>Additional information on r</w:t>
      </w:r>
      <w:r w:rsidR="00784025">
        <w:t>isks</w:t>
      </w:r>
      <w:bookmarkEnd w:id="29"/>
      <w:bookmarkEnd w:id="30"/>
    </w:p>
    <w:p w:rsidR="00784025" w:rsidRPr="00B77A13" w:rsidRDefault="00A525A5" w:rsidP="00784025">
      <w:pPr>
        <w:overflowPunct/>
        <w:contextualSpacing/>
        <w:textAlignment w:val="auto"/>
        <w:rPr>
          <w:rFonts w:asciiTheme="minorHAnsi" w:hAnsiTheme="minorHAnsi"/>
          <w:sz w:val="22"/>
          <w:szCs w:val="22"/>
        </w:rPr>
      </w:pPr>
      <w:r w:rsidRPr="00B77A13">
        <w:rPr>
          <w:rFonts w:asciiTheme="minorHAnsi" w:hAnsiTheme="minorHAnsi"/>
          <w:sz w:val="22"/>
          <w:szCs w:val="22"/>
        </w:rPr>
        <w:t xml:space="preserve">Any investment has risks associated with it, </w:t>
      </w:r>
      <w:r w:rsidR="00541FAA" w:rsidRPr="00B77A13">
        <w:rPr>
          <w:rFonts w:asciiTheme="minorHAnsi" w:hAnsiTheme="minorHAnsi"/>
          <w:sz w:val="22"/>
          <w:szCs w:val="22"/>
        </w:rPr>
        <w:t>and an investment in the Funds is no exception.</w:t>
      </w:r>
    </w:p>
    <w:p w:rsidR="00541FAA" w:rsidRPr="00B77A13" w:rsidRDefault="00541FAA" w:rsidP="00784025">
      <w:pPr>
        <w:overflowPunct/>
        <w:contextualSpacing/>
        <w:textAlignment w:val="auto"/>
        <w:rPr>
          <w:rFonts w:asciiTheme="minorHAnsi" w:hAnsiTheme="minorHAnsi"/>
          <w:sz w:val="22"/>
          <w:szCs w:val="22"/>
        </w:rPr>
      </w:pPr>
    </w:p>
    <w:p w:rsidR="00541FAA" w:rsidRPr="00B77A13" w:rsidRDefault="00541FAA" w:rsidP="00784025">
      <w:pPr>
        <w:overflowPunct/>
        <w:contextualSpacing/>
        <w:textAlignment w:val="auto"/>
        <w:rPr>
          <w:rFonts w:asciiTheme="minorHAnsi" w:hAnsiTheme="minorHAnsi"/>
          <w:sz w:val="22"/>
          <w:szCs w:val="22"/>
        </w:rPr>
      </w:pPr>
      <w:r w:rsidRPr="00B77A13">
        <w:rPr>
          <w:rFonts w:asciiTheme="minorHAnsi" w:hAnsiTheme="minorHAnsi"/>
          <w:sz w:val="22"/>
          <w:szCs w:val="22"/>
        </w:rPr>
        <w:t>The below identified risks, which may cause the Funds’ value to move up and down, are additional to those risks disclosed in the PDS.</w:t>
      </w:r>
    </w:p>
    <w:p w:rsidR="00541FAA" w:rsidRPr="00B77A13" w:rsidRDefault="001A75BE" w:rsidP="00B77A13">
      <w:pPr>
        <w:pStyle w:val="Heading2"/>
      </w:pPr>
      <w:r w:rsidRPr="00B77A13">
        <w:t>Specific investment risk</w:t>
      </w:r>
    </w:p>
    <w:p w:rsidR="001A75BE" w:rsidRPr="00B77A13" w:rsidRDefault="001A75BE" w:rsidP="00784025">
      <w:pPr>
        <w:overflowPunct/>
        <w:contextualSpacing/>
        <w:textAlignment w:val="auto"/>
        <w:rPr>
          <w:rFonts w:asciiTheme="minorHAnsi" w:hAnsiTheme="minorHAnsi"/>
          <w:sz w:val="22"/>
          <w:szCs w:val="22"/>
        </w:rPr>
      </w:pPr>
      <w:r w:rsidRPr="00B77A13">
        <w:rPr>
          <w:rFonts w:asciiTheme="minorHAnsi" w:hAnsiTheme="minorHAnsi"/>
          <w:sz w:val="22"/>
          <w:szCs w:val="22"/>
        </w:rPr>
        <w:t xml:space="preserve">Funds </w:t>
      </w:r>
      <w:r w:rsidR="002F6794" w:rsidRPr="00B77A13">
        <w:rPr>
          <w:rFonts w:asciiTheme="minorHAnsi" w:hAnsiTheme="minorHAnsi"/>
          <w:sz w:val="22"/>
          <w:szCs w:val="22"/>
        </w:rPr>
        <w:t xml:space="preserve">may </w:t>
      </w:r>
      <w:r w:rsidRPr="00B77A13">
        <w:rPr>
          <w:rFonts w:asciiTheme="minorHAnsi" w:hAnsiTheme="minorHAnsi"/>
          <w:sz w:val="22"/>
          <w:szCs w:val="22"/>
        </w:rPr>
        <w:t xml:space="preserve">hold specific individual securities in </w:t>
      </w:r>
      <w:r w:rsidR="002F6794" w:rsidRPr="00B77A13">
        <w:rPr>
          <w:rFonts w:asciiTheme="minorHAnsi" w:hAnsiTheme="minorHAnsi"/>
          <w:sz w:val="22"/>
          <w:szCs w:val="22"/>
        </w:rPr>
        <w:t>a company</w:t>
      </w:r>
      <w:r w:rsidRPr="00B77A13">
        <w:rPr>
          <w:rFonts w:asciiTheme="minorHAnsi" w:hAnsiTheme="minorHAnsi"/>
          <w:sz w:val="22"/>
          <w:szCs w:val="22"/>
        </w:rPr>
        <w:t xml:space="preserve"> that may </w:t>
      </w:r>
      <w:r w:rsidR="002F6794" w:rsidRPr="00B77A13">
        <w:rPr>
          <w:rFonts w:asciiTheme="minorHAnsi" w:hAnsiTheme="minorHAnsi"/>
          <w:sz w:val="22"/>
          <w:szCs w:val="22"/>
        </w:rPr>
        <w:t xml:space="preserve">be affected by </w:t>
      </w:r>
      <w:r w:rsidRPr="00B77A13">
        <w:rPr>
          <w:rFonts w:asciiTheme="minorHAnsi" w:hAnsiTheme="minorHAnsi"/>
          <w:sz w:val="22"/>
          <w:szCs w:val="22"/>
        </w:rPr>
        <w:t>unexpected changes in</w:t>
      </w:r>
      <w:r w:rsidR="002F6794" w:rsidRPr="00B77A13">
        <w:rPr>
          <w:rFonts w:asciiTheme="minorHAnsi" w:hAnsiTheme="minorHAnsi"/>
          <w:sz w:val="22"/>
          <w:szCs w:val="22"/>
        </w:rPr>
        <w:t xml:space="preserve"> the company’s</w:t>
      </w:r>
      <w:r w:rsidRPr="00B77A13">
        <w:rPr>
          <w:rFonts w:asciiTheme="minorHAnsi" w:hAnsiTheme="minorHAnsi"/>
          <w:sz w:val="22"/>
          <w:szCs w:val="22"/>
        </w:rPr>
        <w:t xml:space="preserve"> operations or business environments which affect the value of the</w:t>
      </w:r>
      <w:r w:rsidR="002F6794" w:rsidRPr="00B77A13">
        <w:rPr>
          <w:rFonts w:asciiTheme="minorHAnsi" w:hAnsiTheme="minorHAnsi"/>
          <w:sz w:val="22"/>
          <w:szCs w:val="22"/>
        </w:rPr>
        <w:t xml:space="preserve"> company’s</w:t>
      </w:r>
      <w:r w:rsidRPr="00B77A13">
        <w:rPr>
          <w:rFonts w:asciiTheme="minorHAnsi" w:hAnsiTheme="minorHAnsi"/>
          <w:sz w:val="22"/>
          <w:szCs w:val="22"/>
        </w:rPr>
        <w:t xml:space="preserve"> underlying business and may </w:t>
      </w:r>
      <w:r w:rsidR="002F6794" w:rsidRPr="00B77A13">
        <w:rPr>
          <w:rFonts w:asciiTheme="minorHAnsi" w:hAnsiTheme="minorHAnsi"/>
          <w:sz w:val="22"/>
          <w:szCs w:val="22"/>
        </w:rPr>
        <w:t xml:space="preserve">in turn </w:t>
      </w:r>
      <w:r w:rsidRPr="00B77A13">
        <w:rPr>
          <w:rFonts w:asciiTheme="minorHAnsi" w:hAnsiTheme="minorHAnsi"/>
          <w:sz w:val="22"/>
          <w:szCs w:val="22"/>
        </w:rPr>
        <w:t>reduce the value of the investment</w:t>
      </w:r>
      <w:r w:rsidR="002F6794" w:rsidRPr="00B77A13">
        <w:rPr>
          <w:rFonts w:asciiTheme="minorHAnsi" w:hAnsiTheme="minorHAnsi"/>
          <w:sz w:val="22"/>
          <w:szCs w:val="22"/>
        </w:rPr>
        <w:t xml:space="preserve"> by the relevant Fund</w:t>
      </w:r>
      <w:r w:rsidRPr="00B77A13">
        <w:rPr>
          <w:rFonts w:asciiTheme="minorHAnsi" w:hAnsiTheme="minorHAnsi"/>
          <w:sz w:val="22"/>
          <w:szCs w:val="22"/>
        </w:rPr>
        <w:t>. The Property Fund</w:t>
      </w:r>
      <w:r w:rsidR="00D91469" w:rsidRPr="00B77A13">
        <w:rPr>
          <w:rFonts w:asciiTheme="minorHAnsi" w:hAnsiTheme="minorHAnsi"/>
          <w:sz w:val="22"/>
          <w:szCs w:val="22"/>
        </w:rPr>
        <w:t>, and indirectly the Balanced Fund,</w:t>
      </w:r>
      <w:r w:rsidRPr="00B77A13">
        <w:rPr>
          <w:rFonts w:asciiTheme="minorHAnsi" w:hAnsiTheme="minorHAnsi"/>
          <w:sz w:val="22"/>
          <w:szCs w:val="22"/>
        </w:rPr>
        <w:t xml:space="preserve"> holds specific property assets that may face unforeseen events which may adversely affect the value of the </w:t>
      </w:r>
      <w:r w:rsidR="002F6794" w:rsidRPr="00B77A13">
        <w:rPr>
          <w:rFonts w:asciiTheme="minorHAnsi" w:hAnsiTheme="minorHAnsi"/>
          <w:sz w:val="22"/>
          <w:szCs w:val="22"/>
        </w:rPr>
        <w:t xml:space="preserve">relevant </w:t>
      </w:r>
      <w:r w:rsidRPr="00B77A13">
        <w:rPr>
          <w:rFonts w:asciiTheme="minorHAnsi" w:hAnsiTheme="minorHAnsi"/>
          <w:sz w:val="22"/>
          <w:szCs w:val="22"/>
        </w:rPr>
        <w:t>property</w:t>
      </w:r>
      <w:r w:rsidR="00D91469" w:rsidRPr="00B77A13">
        <w:rPr>
          <w:rFonts w:asciiTheme="minorHAnsi" w:hAnsiTheme="minorHAnsi"/>
          <w:sz w:val="22"/>
          <w:szCs w:val="22"/>
        </w:rPr>
        <w:t xml:space="preserve"> and therein the value of those</w:t>
      </w:r>
      <w:r w:rsidRPr="00B77A13">
        <w:rPr>
          <w:rFonts w:asciiTheme="minorHAnsi" w:hAnsiTheme="minorHAnsi"/>
          <w:sz w:val="22"/>
          <w:szCs w:val="22"/>
        </w:rPr>
        <w:t xml:space="preserve"> Fund</w:t>
      </w:r>
      <w:r w:rsidR="00D91469" w:rsidRPr="00B77A13">
        <w:rPr>
          <w:rFonts w:asciiTheme="minorHAnsi" w:hAnsiTheme="minorHAnsi"/>
          <w:sz w:val="22"/>
          <w:szCs w:val="22"/>
        </w:rPr>
        <w:t>s</w:t>
      </w:r>
      <w:r w:rsidRPr="00B77A13">
        <w:rPr>
          <w:rFonts w:asciiTheme="minorHAnsi" w:hAnsiTheme="minorHAnsi"/>
          <w:sz w:val="22"/>
          <w:szCs w:val="22"/>
        </w:rPr>
        <w:t xml:space="preserve">. </w:t>
      </w:r>
    </w:p>
    <w:p w:rsidR="002F6794" w:rsidRPr="00B77A13" w:rsidRDefault="002F6794" w:rsidP="00B77A13">
      <w:pPr>
        <w:pStyle w:val="Heading2"/>
      </w:pPr>
      <w:r w:rsidRPr="00B77A13">
        <w:t>Investment manager risk</w:t>
      </w:r>
    </w:p>
    <w:p w:rsidR="00541FAA" w:rsidRPr="00B77A13" w:rsidRDefault="002F6794" w:rsidP="00784025">
      <w:pPr>
        <w:overflowPunct/>
        <w:contextualSpacing/>
        <w:textAlignment w:val="auto"/>
        <w:rPr>
          <w:rFonts w:asciiTheme="minorHAnsi" w:hAnsiTheme="minorHAnsi"/>
          <w:sz w:val="22"/>
          <w:szCs w:val="22"/>
        </w:rPr>
      </w:pPr>
      <w:r w:rsidRPr="00B77A13">
        <w:rPr>
          <w:rFonts w:asciiTheme="minorHAnsi" w:hAnsiTheme="minorHAnsi"/>
          <w:sz w:val="22"/>
          <w:szCs w:val="22"/>
        </w:rPr>
        <w:t xml:space="preserve">Investment decisions regarding the allocation of a Fund’s investments between asset classes, investment sectors and individual investments will affect returns, as will performance of the entities and assets underlying the investments. Even though investment managers make the investment decisions, the outcomes cannot be predicted with certainty and results will vary accordingly. </w:t>
      </w:r>
    </w:p>
    <w:p w:rsidR="00F727AC" w:rsidRPr="00B77A13" w:rsidRDefault="00F727AC" w:rsidP="00B77A13">
      <w:pPr>
        <w:pStyle w:val="Heading2"/>
      </w:pPr>
      <w:r w:rsidRPr="00B77A13">
        <w:t>Regulatory risk</w:t>
      </w:r>
    </w:p>
    <w:p w:rsidR="00541FAA" w:rsidRPr="00B77A13" w:rsidRDefault="00F727AC" w:rsidP="00784025">
      <w:pPr>
        <w:overflowPunct/>
        <w:contextualSpacing/>
        <w:textAlignment w:val="auto"/>
        <w:rPr>
          <w:rFonts w:asciiTheme="minorHAnsi" w:hAnsiTheme="minorHAnsi"/>
          <w:sz w:val="22"/>
          <w:szCs w:val="22"/>
        </w:rPr>
      </w:pPr>
      <w:r w:rsidRPr="00B77A13">
        <w:rPr>
          <w:rFonts w:asciiTheme="minorHAnsi" w:hAnsiTheme="minorHAnsi"/>
          <w:sz w:val="22"/>
          <w:szCs w:val="22"/>
        </w:rPr>
        <w:t>Any changes to tax or other applicable legislation or regulation could affect the level or nature of returns from each Fund or the operation of each Fund.</w:t>
      </w:r>
    </w:p>
    <w:p w:rsidR="00234E81" w:rsidRPr="00B77A13" w:rsidRDefault="00234E81" w:rsidP="00B77A13">
      <w:pPr>
        <w:pStyle w:val="Heading2"/>
      </w:pPr>
      <w:r w:rsidRPr="00B77A13">
        <w:t>Operational risk</w:t>
      </w:r>
    </w:p>
    <w:p w:rsidR="00234E81" w:rsidRPr="00B77A13" w:rsidRDefault="00234E81" w:rsidP="00784025">
      <w:pPr>
        <w:overflowPunct/>
        <w:contextualSpacing/>
        <w:textAlignment w:val="auto"/>
        <w:rPr>
          <w:rFonts w:asciiTheme="minorHAnsi" w:hAnsiTheme="minorHAnsi"/>
          <w:sz w:val="22"/>
          <w:szCs w:val="22"/>
        </w:rPr>
      </w:pPr>
      <w:r w:rsidRPr="00B77A13">
        <w:rPr>
          <w:rFonts w:asciiTheme="minorHAnsi" w:hAnsiTheme="minorHAnsi"/>
          <w:sz w:val="22"/>
          <w:szCs w:val="22"/>
        </w:rPr>
        <w:t>Risks may arise from a failure of processes and procedures (including, in the case of the Property Fund, to have sufficient liquid assets to meet capital expenses in relation to property assets of the Fund), fraud, litigation, disruption to business by industrial disputes, system failures</w:t>
      </w:r>
      <w:r w:rsidR="00F64B92" w:rsidRPr="00B77A13">
        <w:rPr>
          <w:rFonts w:asciiTheme="minorHAnsi" w:hAnsiTheme="minorHAnsi"/>
          <w:sz w:val="22"/>
          <w:szCs w:val="22"/>
        </w:rPr>
        <w:t xml:space="preserve"> (including cyber security </w:t>
      </w:r>
      <w:r w:rsidR="00B12588" w:rsidRPr="00B77A13">
        <w:rPr>
          <w:rFonts w:asciiTheme="minorHAnsi" w:hAnsiTheme="minorHAnsi"/>
          <w:sz w:val="22"/>
          <w:szCs w:val="22"/>
        </w:rPr>
        <w:t xml:space="preserve">and data integrity </w:t>
      </w:r>
      <w:r w:rsidR="00F64B92" w:rsidRPr="00B77A13">
        <w:rPr>
          <w:rFonts w:asciiTheme="minorHAnsi" w:hAnsiTheme="minorHAnsi"/>
          <w:sz w:val="22"/>
          <w:szCs w:val="22"/>
        </w:rPr>
        <w:t>failure)</w:t>
      </w:r>
      <w:r w:rsidRPr="00B77A13">
        <w:rPr>
          <w:rFonts w:asciiTheme="minorHAnsi" w:hAnsiTheme="minorHAnsi"/>
          <w:sz w:val="22"/>
          <w:szCs w:val="22"/>
        </w:rPr>
        <w:t xml:space="preserve">, pandemics, natural disasters and other unforeseen external events which might affect our business or a Fund and its assets. </w:t>
      </w:r>
    </w:p>
    <w:p w:rsidR="00903CCC" w:rsidRPr="00B77A13" w:rsidRDefault="00903CCC" w:rsidP="00B77A13">
      <w:pPr>
        <w:pStyle w:val="Heading2"/>
      </w:pPr>
      <w:r w:rsidRPr="00B77A13">
        <w:t>Concentration risk</w:t>
      </w:r>
    </w:p>
    <w:p w:rsidR="00903CCC" w:rsidRPr="00B77A13" w:rsidRDefault="00903CCC" w:rsidP="00784025">
      <w:pPr>
        <w:overflowPunct/>
        <w:contextualSpacing/>
        <w:textAlignment w:val="auto"/>
        <w:rPr>
          <w:rFonts w:asciiTheme="minorHAnsi" w:hAnsiTheme="minorHAnsi"/>
          <w:sz w:val="22"/>
          <w:szCs w:val="22"/>
        </w:rPr>
      </w:pPr>
      <w:r w:rsidRPr="00B77A13">
        <w:rPr>
          <w:rFonts w:asciiTheme="minorHAnsi" w:hAnsiTheme="minorHAnsi"/>
          <w:sz w:val="22"/>
          <w:szCs w:val="22"/>
        </w:rPr>
        <w:t xml:space="preserve">A Fund’s investments may be </w:t>
      </w:r>
      <w:r w:rsidR="008D1504" w:rsidRPr="00B77A13">
        <w:rPr>
          <w:rFonts w:asciiTheme="minorHAnsi" w:hAnsiTheme="minorHAnsi"/>
          <w:sz w:val="22"/>
          <w:szCs w:val="22"/>
        </w:rPr>
        <w:t>concentrated</w:t>
      </w:r>
      <w:r w:rsidRPr="00B77A13">
        <w:rPr>
          <w:rFonts w:asciiTheme="minorHAnsi" w:hAnsiTheme="minorHAnsi"/>
          <w:sz w:val="22"/>
          <w:szCs w:val="22"/>
        </w:rPr>
        <w:t xml:space="preserve"> in particular assets, types of assets, other managed funds, geographic areas or industries. In that case, the poor performance of a single investment or group of investments can significantly impact your returns and increase volatility.  </w:t>
      </w:r>
    </w:p>
    <w:p w:rsidR="00D921BF" w:rsidRPr="00B77A13" w:rsidRDefault="00D921BF" w:rsidP="00784025">
      <w:pPr>
        <w:overflowPunct/>
        <w:contextualSpacing/>
        <w:textAlignment w:val="auto"/>
        <w:rPr>
          <w:rFonts w:asciiTheme="minorHAnsi" w:hAnsiTheme="minorHAnsi"/>
          <w:sz w:val="22"/>
          <w:szCs w:val="22"/>
        </w:rPr>
      </w:pPr>
    </w:p>
    <w:p w:rsidR="00D921BF" w:rsidRPr="00B77A13" w:rsidRDefault="00D921BF" w:rsidP="00784025">
      <w:pPr>
        <w:overflowPunct/>
        <w:contextualSpacing/>
        <w:textAlignment w:val="auto"/>
        <w:rPr>
          <w:rFonts w:asciiTheme="minorHAnsi" w:hAnsiTheme="minorHAnsi"/>
          <w:sz w:val="22"/>
          <w:szCs w:val="22"/>
        </w:rPr>
      </w:pPr>
      <w:r w:rsidRPr="00B77A13">
        <w:rPr>
          <w:rFonts w:asciiTheme="minorHAnsi" w:hAnsiTheme="minorHAnsi"/>
          <w:sz w:val="22"/>
          <w:szCs w:val="22"/>
        </w:rPr>
        <w:t xml:space="preserve">In the case of the Property Fund, </w:t>
      </w:r>
      <w:r w:rsidR="00676F2F" w:rsidRPr="00B77A13">
        <w:rPr>
          <w:rFonts w:asciiTheme="minorHAnsi" w:hAnsiTheme="minorHAnsi"/>
          <w:sz w:val="22"/>
          <w:szCs w:val="22"/>
        </w:rPr>
        <w:t xml:space="preserve">as at the date of this document, </w:t>
      </w:r>
      <w:r w:rsidRPr="00B77A13">
        <w:rPr>
          <w:rFonts w:asciiTheme="minorHAnsi" w:hAnsiTheme="minorHAnsi"/>
          <w:sz w:val="22"/>
          <w:szCs w:val="22"/>
        </w:rPr>
        <w:t xml:space="preserve">the Fund is invested in </w:t>
      </w:r>
      <w:r w:rsidR="006D42FA">
        <w:rPr>
          <w:rFonts w:asciiTheme="minorHAnsi" w:hAnsiTheme="minorHAnsi"/>
          <w:sz w:val="22"/>
          <w:szCs w:val="22"/>
        </w:rPr>
        <w:t xml:space="preserve">21 </w:t>
      </w:r>
      <w:r w:rsidRPr="00B77A13">
        <w:rPr>
          <w:rFonts w:asciiTheme="minorHAnsi" w:hAnsiTheme="minorHAnsi"/>
          <w:sz w:val="22"/>
          <w:szCs w:val="22"/>
        </w:rPr>
        <w:t>properties, the largest of which (by value) represent</w:t>
      </w:r>
      <w:r w:rsidR="00306E9E" w:rsidRPr="00B77A13">
        <w:rPr>
          <w:rFonts w:asciiTheme="minorHAnsi" w:hAnsiTheme="minorHAnsi"/>
          <w:sz w:val="22"/>
          <w:szCs w:val="22"/>
        </w:rPr>
        <w:t>ed</w:t>
      </w:r>
      <w:r w:rsidRPr="00B77A13">
        <w:rPr>
          <w:rFonts w:asciiTheme="minorHAnsi" w:hAnsiTheme="minorHAnsi"/>
          <w:sz w:val="22"/>
          <w:szCs w:val="22"/>
        </w:rPr>
        <w:t xml:space="preserve"> </w:t>
      </w:r>
      <w:r w:rsidR="006D42FA">
        <w:rPr>
          <w:rFonts w:asciiTheme="minorHAnsi" w:hAnsiTheme="minorHAnsi"/>
          <w:sz w:val="22"/>
          <w:szCs w:val="22"/>
        </w:rPr>
        <w:t>11.45</w:t>
      </w:r>
      <w:r w:rsidRPr="00B77A13">
        <w:rPr>
          <w:rFonts w:asciiTheme="minorHAnsi" w:hAnsiTheme="minorHAnsi"/>
          <w:sz w:val="22"/>
          <w:szCs w:val="22"/>
        </w:rPr>
        <w:t xml:space="preserve">% of the total </w:t>
      </w:r>
      <w:r w:rsidR="00654640">
        <w:rPr>
          <w:rFonts w:asciiTheme="minorHAnsi" w:hAnsiTheme="minorHAnsi"/>
          <w:sz w:val="22"/>
          <w:szCs w:val="22"/>
        </w:rPr>
        <w:t xml:space="preserve">investment </w:t>
      </w:r>
      <w:r w:rsidRPr="00B77A13">
        <w:rPr>
          <w:rFonts w:asciiTheme="minorHAnsi" w:hAnsiTheme="minorHAnsi"/>
          <w:sz w:val="22"/>
          <w:szCs w:val="22"/>
        </w:rPr>
        <w:t xml:space="preserve">assets of the Fund, </w:t>
      </w:r>
      <w:r w:rsidR="006D42FA">
        <w:rPr>
          <w:rFonts w:asciiTheme="minorHAnsi" w:hAnsiTheme="minorHAnsi"/>
          <w:sz w:val="22"/>
          <w:szCs w:val="22"/>
        </w:rPr>
        <w:t>11.78</w:t>
      </w:r>
      <w:r w:rsidRPr="00B77A13">
        <w:rPr>
          <w:rFonts w:asciiTheme="minorHAnsi" w:hAnsiTheme="minorHAnsi"/>
          <w:sz w:val="22"/>
          <w:szCs w:val="22"/>
        </w:rPr>
        <w:t xml:space="preserve">% of the Fund’s property portfolio by value and </w:t>
      </w:r>
      <w:r w:rsidR="006D42FA">
        <w:rPr>
          <w:rFonts w:asciiTheme="minorHAnsi" w:hAnsiTheme="minorHAnsi"/>
          <w:sz w:val="22"/>
          <w:szCs w:val="22"/>
        </w:rPr>
        <w:t>14.06</w:t>
      </w:r>
      <w:r w:rsidRPr="00B77A13">
        <w:rPr>
          <w:rFonts w:asciiTheme="minorHAnsi" w:hAnsiTheme="minorHAnsi"/>
          <w:sz w:val="22"/>
          <w:szCs w:val="22"/>
        </w:rPr>
        <w:t xml:space="preserve">% of the rental income of the Fund. As such, the </w:t>
      </w:r>
      <w:r w:rsidR="00EB0D3C" w:rsidRPr="00B77A13">
        <w:rPr>
          <w:rFonts w:asciiTheme="minorHAnsi" w:hAnsiTheme="minorHAnsi"/>
          <w:sz w:val="22"/>
          <w:szCs w:val="22"/>
        </w:rPr>
        <w:t xml:space="preserve">value of the </w:t>
      </w:r>
      <w:r w:rsidRPr="00B77A13">
        <w:rPr>
          <w:rFonts w:asciiTheme="minorHAnsi" w:hAnsiTheme="minorHAnsi"/>
          <w:sz w:val="22"/>
          <w:szCs w:val="22"/>
        </w:rPr>
        <w:t>Fund</w:t>
      </w:r>
      <w:r w:rsidR="00EB0D3C" w:rsidRPr="00B77A13">
        <w:rPr>
          <w:rFonts w:asciiTheme="minorHAnsi" w:hAnsiTheme="minorHAnsi"/>
          <w:sz w:val="22"/>
          <w:szCs w:val="22"/>
        </w:rPr>
        <w:t>’s assets and its returns</w:t>
      </w:r>
      <w:r w:rsidRPr="00B77A13">
        <w:rPr>
          <w:rFonts w:asciiTheme="minorHAnsi" w:hAnsiTheme="minorHAnsi"/>
          <w:sz w:val="22"/>
          <w:szCs w:val="22"/>
        </w:rPr>
        <w:t xml:space="preserve"> may be significantly impacted by events affecting </w:t>
      </w:r>
      <w:r w:rsidR="0034408F" w:rsidRPr="00B77A13">
        <w:rPr>
          <w:rFonts w:asciiTheme="minorHAnsi" w:hAnsiTheme="minorHAnsi"/>
          <w:sz w:val="22"/>
          <w:szCs w:val="22"/>
        </w:rPr>
        <w:t>a particular</w:t>
      </w:r>
      <w:r w:rsidRPr="00B77A13">
        <w:rPr>
          <w:rFonts w:asciiTheme="minorHAnsi" w:hAnsiTheme="minorHAnsi"/>
          <w:sz w:val="22"/>
          <w:szCs w:val="22"/>
        </w:rPr>
        <w:t xml:space="preserve"> property</w:t>
      </w:r>
      <w:r w:rsidR="0034408F" w:rsidRPr="00B77A13">
        <w:rPr>
          <w:rFonts w:asciiTheme="minorHAnsi" w:hAnsiTheme="minorHAnsi"/>
          <w:sz w:val="22"/>
          <w:szCs w:val="22"/>
        </w:rPr>
        <w:t xml:space="preserve">, such as the </w:t>
      </w:r>
      <w:r w:rsidR="00CE7337" w:rsidRPr="00B77A13">
        <w:rPr>
          <w:rFonts w:asciiTheme="minorHAnsi" w:hAnsiTheme="minorHAnsi"/>
          <w:sz w:val="22"/>
          <w:szCs w:val="22"/>
        </w:rPr>
        <w:t>loss or default of a tenant of that property or the need to undertake unplanned repairs and maintenance to that property.</w:t>
      </w:r>
    </w:p>
    <w:p w:rsidR="00903CCC" w:rsidRDefault="00903CCC" w:rsidP="00784025">
      <w:pPr>
        <w:overflowPunct/>
        <w:contextualSpacing/>
        <w:textAlignment w:val="auto"/>
        <w:rPr>
          <w:rFonts w:asciiTheme="minorHAnsi" w:hAnsiTheme="minorHAnsi"/>
          <w:b/>
          <w:sz w:val="22"/>
          <w:szCs w:val="22"/>
        </w:rPr>
      </w:pPr>
    </w:p>
    <w:p w:rsidR="003C4445" w:rsidRDefault="00997C8F" w:rsidP="00784025">
      <w:pPr>
        <w:overflowPunct/>
        <w:contextualSpacing/>
        <w:textAlignment w:val="auto"/>
        <w:rPr>
          <w:rFonts w:asciiTheme="minorHAnsi" w:hAnsiTheme="minorHAnsi"/>
          <w:sz w:val="22"/>
          <w:szCs w:val="22"/>
        </w:rPr>
      </w:pPr>
      <w:r>
        <w:rPr>
          <w:rFonts w:asciiTheme="minorHAnsi" w:hAnsiTheme="minorHAnsi"/>
          <w:sz w:val="22"/>
          <w:szCs w:val="22"/>
        </w:rPr>
        <w:t>In addition, as at the date of this document, t</w:t>
      </w:r>
      <w:r w:rsidR="003C4445" w:rsidRPr="003C4445">
        <w:rPr>
          <w:rFonts w:asciiTheme="minorHAnsi" w:hAnsiTheme="minorHAnsi"/>
          <w:sz w:val="22"/>
          <w:szCs w:val="22"/>
        </w:rPr>
        <w:t xml:space="preserve">he Fund owns </w:t>
      </w:r>
      <w:r w:rsidR="003C4445">
        <w:rPr>
          <w:rFonts w:asciiTheme="minorHAnsi" w:hAnsiTheme="minorHAnsi"/>
          <w:sz w:val="22"/>
          <w:szCs w:val="22"/>
        </w:rPr>
        <w:t xml:space="preserve">three properties which are leased to General Distributors Limited (‘GDL’) and are operated as Countdown Supermarkets. </w:t>
      </w:r>
      <w:r w:rsidR="00834341">
        <w:rPr>
          <w:rFonts w:asciiTheme="minorHAnsi" w:hAnsiTheme="minorHAnsi"/>
          <w:sz w:val="22"/>
          <w:szCs w:val="22"/>
        </w:rPr>
        <w:t>The</w:t>
      </w:r>
      <w:r w:rsidR="003C4445">
        <w:rPr>
          <w:rFonts w:asciiTheme="minorHAnsi" w:hAnsiTheme="minorHAnsi"/>
          <w:sz w:val="22"/>
          <w:szCs w:val="22"/>
        </w:rPr>
        <w:t xml:space="preserve"> Fund </w:t>
      </w:r>
      <w:r w:rsidR="00834341">
        <w:rPr>
          <w:rFonts w:asciiTheme="minorHAnsi" w:hAnsiTheme="minorHAnsi"/>
          <w:sz w:val="22"/>
          <w:szCs w:val="22"/>
        </w:rPr>
        <w:t>h</w:t>
      </w:r>
      <w:r w:rsidR="003C4445">
        <w:rPr>
          <w:rFonts w:asciiTheme="minorHAnsi" w:hAnsiTheme="minorHAnsi"/>
          <w:sz w:val="22"/>
          <w:szCs w:val="22"/>
        </w:rPr>
        <w:t>as a</w:t>
      </w:r>
      <w:r>
        <w:rPr>
          <w:rFonts w:asciiTheme="minorHAnsi" w:hAnsiTheme="minorHAnsi"/>
          <w:sz w:val="22"/>
          <w:szCs w:val="22"/>
        </w:rPr>
        <w:t>n industry (food retail) and</w:t>
      </w:r>
      <w:r w:rsidR="003C4445">
        <w:rPr>
          <w:rFonts w:asciiTheme="minorHAnsi" w:hAnsiTheme="minorHAnsi"/>
          <w:sz w:val="22"/>
          <w:szCs w:val="22"/>
        </w:rPr>
        <w:t xml:space="preserve"> tenant concentration risk </w:t>
      </w:r>
      <w:r>
        <w:rPr>
          <w:rFonts w:asciiTheme="minorHAnsi" w:hAnsiTheme="minorHAnsi"/>
          <w:sz w:val="22"/>
          <w:szCs w:val="22"/>
        </w:rPr>
        <w:t>in respect of these properties</w:t>
      </w:r>
      <w:r w:rsidR="003C4445">
        <w:rPr>
          <w:rFonts w:asciiTheme="minorHAnsi" w:hAnsiTheme="minorHAnsi"/>
          <w:sz w:val="22"/>
          <w:szCs w:val="22"/>
        </w:rPr>
        <w:t xml:space="preserve"> representing </w:t>
      </w:r>
      <w:r w:rsidR="006D42FA">
        <w:rPr>
          <w:rFonts w:asciiTheme="minorHAnsi" w:hAnsiTheme="minorHAnsi"/>
          <w:sz w:val="22"/>
          <w:szCs w:val="22"/>
        </w:rPr>
        <w:t>22.90</w:t>
      </w:r>
      <w:r w:rsidR="003C4445">
        <w:rPr>
          <w:rFonts w:asciiTheme="minorHAnsi" w:hAnsiTheme="minorHAnsi"/>
          <w:sz w:val="22"/>
          <w:szCs w:val="22"/>
        </w:rPr>
        <w:t>% of the</w:t>
      </w:r>
      <w:r>
        <w:rPr>
          <w:rFonts w:asciiTheme="minorHAnsi" w:hAnsiTheme="minorHAnsi"/>
          <w:b/>
          <w:sz w:val="22"/>
          <w:szCs w:val="22"/>
        </w:rPr>
        <w:t xml:space="preserve"> </w:t>
      </w:r>
      <w:r w:rsidR="003C4445">
        <w:rPr>
          <w:rFonts w:asciiTheme="minorHAnsi" w:hAnsiTheme="minorHAnsi"/>
          <w:sz w:val="22"/>
          <w:szCs w:val="22"/>
        </w:rPr>
        <w:t xml:space="preserve">rental income of the Fund over the three properties. The value of the three property assets leased to GDL, represent </w:t>
      </w:r>
      <w:r w:rsidR="006D42FA">
        <w:rPr>
          <w:rFonts w:asciiTheme="minorHAnsi" w:hAnsiTheme="minorHAnsi"/>
          <w:sz w:val="22"/>
          <w:szCs w:val="22"/>
        </w:rPr>
        <w:t>23.39</w:t>
      </w:r>
      <w:r w:rsidR="003C4445">
        <w:rPr>
          <w:rFonts w:asciiTheme="minorHAnsi" w:hAnsiTheme="minorHAnsi"/>
          <w:sz w:val="22"/>
          <w:szCs w:val="22"/>
        </w:rPr>
        <w:t xml:space="preserve">% of the </w:t>
      </w:r>
      <w:r w:rsidR="003C4445" w:rsidRPr="00B77A13">
        <w:rPr>
          <w:rFonts w:asciiTheme="minorHAnsi" w:hAnsiTheme="minorHAnsi"/>
          <w:sz w:val="22"/>
          <w:szCs w:val="22"/>
        </w:rPr>
        <w:t>Fund’s property portfolio by value</w:t>
      </w:r>
      <w:r w:rsidR="003C4445">
        <w:rPr>
          <w:rFonts w:asciiTheme="minorHAnsi" w:hAnsiTheme="minorHAnsi"/>
          <w:sz w:val="22"/>
          <w:szCs w:val="22"/>
        </w:rPr>
        <w:t>.</w:t>
      </w:r>
      <w:r>
        <w:rPr>
          <w:rFonts w:asciiTheme="minorHAnsi" w:hAnsiTheme="minorHAnsi"/>
          <w:sz w:val="22"/>
          <w:szCs w:val="22"/>
        </w:rPr>
        <w:t xml:space="preserve">  </w:t>
      </w:r>
    </w:p>
    <w:p w:rsidR="001C46BE" w:rsidRDefault="001C46BE">
      <w:pPr>
        <w:overflowPunct/>
        <w:autoSpaceDE/>
        <w:autoSpaceDN/>
        <w:adjustRightInd/>
        <w:spacing w:after="0"/>
        <w:jc w:val="left"/>
        <w:textAlignment w:val="auto"/>
        <w:rPr>
          <w:rFonts w:asciiTheme="minorHAnsi" w:hAnsiTheme="minorHAnsi"/>
          <w:b/>
          <w:color w:val="00B050"/>
          <w:sz w:val="28"/>
          <w:szCs w:val="28"/>
        </w:rPr>
      </w:pPr>
      <w:r>
        <w:br w:type="page"/>
      </w:r>
    </w:p>
    <w:p w:rsidR="00F727AC" w:rsidRPr="00B77A13" w:rsidRDefault="00A2731D" w:rsidP="00B77A13">
      <w:pPr>
        <w:pStyle w:val="Heading2"/>
      </w:pPr>
      <w:r>
        <w:rPr>
          <w:rFonts w:ascii="Arial" w:hAnsi="Arial" w:cs="Arial"/>
          <w:noProof/>
          <w:sz w:val="22"/>
          <w:szCs w:val="22"/>
        </w:rPr>
        <w:pict w14:anchorId="77B573F7">
          <v:shape id="_x0000_s1031" style="position:absolute;left:0;text-align:left;margin-left:-24.7pt;margin-top:-47.15pt;width:559.5pt;height:804.6pt;rotation:180;flip:x;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r w:rsidR="00D91469" w:rsidRPr="00B77A13">
        <w:t>Counterparty risk</w:t>
      </w:r>
    </w:p>
    <w:p w:rsidR="00541FAA" w:rsidRPr="00B77A13" w:rsidRDefault="00D91469" w:rsidP="00784025">
      <w:pPr>
        <w:overflowPunct/>
        <w:contextualSpacing/>
        <w:textAlignment w:val="auto"/>
        <w:rPr>
          <w:rFonts w:asciiTheme="minorHAnsi" w:hAnsiTheme="minorHAnsi"/>
          <w:sz w:val="22"/>
          <w:szCs w:val="22"/>
        </w:rPr>
      </w:pPr>
      <w:r w:rsidRPr="00B77A13">
        <w:rPr>
          <w:rFonts w:asciiTheme="minorHAnsi" w:hAnsiTheme="minorHAnsi"/>
          <w:sz w:val="22"/>
          <w:szCs w:val="22"/>
        </w:rPr>
        <w:t xml:space="preserve">A third party may fail to perform their obligations resulting in a loss of value in an investment of a Fund. </w:t>
      </w:r>
      <w:r w:rsidR="00234E81" w:rsidRPr="00B77A13">
        <w:rPr>
          <w:rFonts w:asciiTheme="minorHAnsi" w:hAnsiTheme="minorHAnsi"/>
          <w:sz w:val="22"/>
          <w:szCs w:val="22"/>
        </w:rPr>
        <w:t xml:space="preserve">This may arise where </w:t>
      </w:r>
      <w:r w:rsidRPr="00B77A13">
        <w:rPr>
          <w:rFonts w:asciiTheme="minorHAnsi" w:hAnsiTheme="minorHAnsi"/>
          <w:sz w:val="22"/>
          <w:szCs w:val="22"/>
        </w:rPr>
        <w:t>a counterparty to a bond or forward foreign currency contract held by a Fund</w:t>
      </w:r>
      <w:r w:rsidR="00234E81" w:rsidRPr="00B77A13">
        <w:rPr>
          <w:rFonts w:asciiTheme="minorHAnsi" w:hAnsiTheme="minorHAnsi"/>
          <w:sz w:val="22"/>
          <w:szCs w:val="22"/>
        </w:rPr>
        <w:t xml:space="preserve"> defaults on its obligations under the relevant bond or contract, or where a third party fails to properly provide services to a Fund.</w:t>
      </w:r>
    </w:p>
    <w:p w:rsidR="00FA718E" w:rsidRPr="00B77A13" w:rsidRDefault="00FA718E" w:rsidP="00B77A13">
      <w:pPr>
        <w:pStyle w:val="Heading2"/>
      </w:pPr>
      <w:r w:rsidRPr="00B77A13">
        <w:t xml:space="preserve">Property Fund: </w:t>
      </w:r>
      <w:r w:rsidR="00553F4F" w:rsidRPr="00B77A13">
        <w:t>P</w:t>
      </w:r>
      <w:r w:rsidRPr="00B77A13">
        <w:t>roperty market risk</w:t>
      </w:r>
    </w:p>
    <w:p w:rsidR="00FA718E" w:rsidRPr="00B77A13" w:rsidRDefault="00FA718E" w:rsidP="00FA718E">
      <w:pPr>
        <w:spacing w:before="240"/>
        <w:rPr>
          <w:rFonts w:asciiTheme="minorHAnsi" w:hAnsiTheme="minorHAnsi"/>
          <w:sz w:val="22"/>
          <w:szCs w:val="22"/>
        </w:rPr>
      </w:pPr>
      <w:r w:rsidRPr="00B77A13">
        <w:rPr>
          <w:rFonts w:asciiTheme="minorHAnsi" w:hAnsiTheme="minorHAnsi"/>
          <w:sz w:val="22"/>
          <w:szCs w:val="22"/>
        </w:rPr>
        <w:t xml:space="preserve">The Property Fund invests in a portfolio of commercial properties in New Zealand and, as such, is subject to the prevailing property market conditions in New Zealand. </w:t>
      </w:r>
    </w:p>
    <w:p w:rsidR="00FA718E" w:rsidRPr="00B77A13" w:rsidRDefault="00FA718E" w:rsidP="00FA718E">
      <w:pPr>
        <w:spacing w:before="240"/>
        <w:rPr>
          <w:rFonts w:asciiTheme="minorHAnsi" w:hAnsiTheme="minorHAnsi"/>
          <w:sz w:val="22"/>
          <w:szCs w:val="22"/>
        </w:rPr>
      </w:pPr>
      <w:r w:rsidRPr="00B77A13">
        <w:rPr>
          <w:rFonts w:asciiTheme="minorHAnsi" w:hAnsiTheme="minorHAnsi"/>
          <w:sz w:val="22"/>
          <w:szCs w:val="22"/>
        </w:rPr>
        <w:t>Fluct</w:t>
      </w:r>
      <w:r w:rsidR="00D82C98">
        <w:rPr>
          <w:rFonts w:asciiTheme="minorHAnsi" w:hAnsiTheme="minorHAnsi"/>
          <w:sz w:val="22"/>
          <w:szCs w:val="22"/>
        </w:rPr>
        <w:t>u</w:t>
      </w:r>
      <w:r w:rsidRPr="00B77A13">
        <w:rPr>
          <w:rFonts w:asciiTheme="minorHAnsi" w:hAnsiTheme="minorHAnsi"/>
          <w:sz w:val="22"/>
          <w:szCs w:val="22"/>
        </w:rPr>
        <w:t xml:space="preserve">ations in the supply of and demand for the types of properties owned by the Fund, the availability of suitable properties for acquisition and the activity of competitors in the market may negatively impact the Fund’s availability to acquire, manage or sell assets, as well as the value of the Fund’s assets and its performance. </w:t>
      </w:r>
    </w:p>
    <w:p w:rsidR="00FA718E" w:rsidRPr="00B77A13" w:rsidRDefault="00FA718E" w:rsidP="00B77A13">
      <w:pPr>
        <w:pStyle w:val="Heading2"/>
      </w:pPr>
      <w:r w:rsidRPr="00B77A13">
        <w:t>Property Fund: Tenant risk</w:t>
      </w:r>
    </w:p>
    <w:p w:rsidR="00FA718E" w:rsidRPr="00B77A13" w:rsidRDefault="00FA718E" w:rsidP="00FA718E">
      <w:pPr>
        <w:spacing w:before="240"/>
        <w:rPr>
          <w:rFonts w:asciiTheme="minorHAnsi" w:hAnsiTheme="minorHAnsi"/>
          <w:sz w:val="22"/>
          <w:szCs w:val="22"/>
        </w:rPr>
      </w:pPr>
      <w:r w:rsidRPr="00B77A13">
        <w:rPr>
          <w:rFonts w:asciiTheme="minorHAnsi" w:hAnsiTheme="minorHAnsi"/>
          <w:sz w:val="22"/>
          <w:szCs w:val="22"/>
        </w:rPr>
        <w:t>If a tenant of a property owned by the Property Fund fails to pay its rent when due it may affect the value of the property as well as the Fund’s earnings. Similarly, any significant distress in a tenant’s business could also negatively impact the rental flow and so the value of the relevant property.</w:t>
      </w:r>
      <w:r w:rsidR="003C4445">
        <w:rPr>
          <w:rFonts w:asciiTheme="minorHAnsi" w:hAnsiTheme="minorHAnsi"/>
          <w:sz w:val="22"/>
          <w:szCs w:val="22"/>
        </w:rPr>
        <w:t xml:space="preserve"> Refer to the concentration risk disclosure</w:t>
      </w:r>
      <w:r w:rsidR="00997C8F">
        <w:rPr>
          <w:rFonts w:asciiTheme="minorHAnsi" w:hAnsiTheme="minorHAnsi"/>
          <w:sz w:val="22"/>
          <w:szCs w:val="22"/>
        </w:rPr>
        <w:t xml:space="preserve"> above</w:t>
      </w:r>
      <w:r w:rsidR="003C4445">
        <w:rPr>
          <w:rFonts w:asciiTheme="minorHAnsi" w:hAnsiTheme="minorHAnsi"/>
          <w:sz w:val="22"/>
          <w:szCs w:val="22"/>
        </w:rPr>
        <w:t xml:space="preserve"> for analysis of key concentrations of material exposure to specific tenants.</w:t>
      </w:r>
    </w:p>
    <w:p w:rsidR="00FA718E" w:rsidRPr="00B77A13" w:rsidRDefault="00FA718E" w:rsidP="00B77A13">
      <w:pPr>
        <w:pStyle w:val="Heading2"/>
      </w:pPr>
      <w:r w:rsidRPr="00B77A13">
        <w:t>Property Fund: Landlord costs risk</w:t>
      </w:r>
    </w:p>
    <w:p w:rsidR="00FA718E" w:rsidRPr="00B77A13" w:rsidRDefault="00FA718E" w:rsidP="00FA718E">
      <w:pPr>
        <w:spacing w:before="240"/>
        <w:rPr>
          <w:rFonts w:asciiTheme="minorHAnsi" w:hAnsiTheme="minorHAnsi"/>
          <w:sz w:val="22"/>
          <w:szCs w:val="22"/>
        </w:rPr>
      </w:pPr>
      <w:r w:rsidRPr="00B77A13">
        <w:rPr>
          <w:rFonts w:asciiTheme="minorHAnsi" w:hAnsiTheme="minorHAnsi"/>
          <w:sz w:val="22"/>
          <w:szCs w:val="22"/>
        </w:rPr>
        <w:t>Capital works and repairs and maintenance to the Property Fund’s properties may exceed planned expenditure, reducing the Fund’s profit and distributions and potentially affecting the Fund’s ability to repay you when you want to withdraw your investment from the Fund.</w:t>
      </w:r>
    </w:p>
    <w:p w:rsidR="00FA718E" w:rsidRPr="00B77A13" w:rsidRDefault="00FA718E" w:rsidP="00B77A13">
      <w:pPr>
        <w:pStyle w:val="Heading2"/>
      </w:pPr>
      <w:r w:rsidRPr="00B77A13">
        <w:t xml:space="preserve">Property Fund: Vacancy risk </w:t>
      </w:r>
    </w:p>
    <w:p w:rsidR="00FA718E" w:rsidRDefault="00FA718E" w:rsidP="00FA718E">
      <w:pPr>
        <w:spacing w:before="240"/>
        <w:rPr>
          <w:rFonts w:asciiTheme="minorHAnsi" w:hAnsiTheme="minorHAnsi"/>
          <w:sz w:val="22"/>
          <w:szCs w:val="22"/>
        </w:rPr>
      </w:pPr>
      <w:r w:rsidRPr="00B77A13">
        <w:rPr>
          <w:rFonts w:asciiTheme="minorHAnsi" w:hAnsiTheme="minorHAnsi"/>
          <w:sz w:val="22"/>
          <w:szCs w:val="22"/>
        </w:rPr>
        <w:t xml:space="preserve">The loss of a major tenant, or a number of smaller tenants, non-renewal of existing leases on expiry or early termination, or the inability to find a tenant for a vacant space </w:t>
      </w:r>
      <w:r w:rsidRPr="00267428">
        <w:rPr>
          <w:rFonts w:asciiTheme="minorHAnsi" w:hAnsiTheme="minorHAnsi"/>
          <w:sz w:val="22"/>
          <w:szCs w:val="22"/>
        </w:rPr>
        <w:t>at acceptable rental levels or at all, could adversely affect the Property Fund’s earnings or the value of the Property Fund’s assets.</w:t>
      </w:r>
    </w:p>
    <w:p w:rsidR="00E924F3" w:rsidRPr="00B77A13" w:rsidRDefault="00E924F3" w:rsidP="00E924F3">
      <w:pPr>
        <w:pStyle w:val="Heading2"/>
      </w:pPr>
      <w:r w:rsidRPr="00B77A13">
        <w:t xml:space="preserve">Property Fund: </w:t>
      </w:r>
      <w:r w:rsidR="00224C0E">
        <w:t>N</w:t>
      </w:r>
      <w:r>
        <w:t>atural disaster</w:t>
      </w:r>
      <w:r w:rsidRPr="00B77A13">
        <w:t xml:space="preserve"> </w:t>
      </w:r>
      <w:r w:rsidR="00224C0E">
        <w:t xml:space="preserve">and insurance </w:t>
      </w:r>
      <w:r w:rsidRPr="00B77A13">
        <w:t xml:space="preserve">risk </w:t>
      </w:r>
    </w:p>
    <w:p w:rsidR="00E924F3" w:rsidRDefault="00E924F3" w:rsidP="00E924F3">
      <w:pPr>
        <w:spacing w:before="240"/>
        <w:rPr>
          <w:rFonts w:asciiTheme="minorHAnsi" w:hAnsiTheme="minorHAnsi"/>
          <w:sz w:val="22"/>
          <w:szCs w:val="22"/>
        </w:rPr>
      </w:pPr>
      <w:r w:rsidRPr="00E924F3">
        <w:rPr>
          <w:rFonts w:asciiTheme="minorHAnsi" w:hAnsiTheme="minorHAnsi"/>
          <w:sz w:val="22"/>
          <w:szCs w:val="22"/>
        </w:rPr>
        <w:t xml:space="preserve">A natural disaster </w:t>
      </w:r>
      <w:r w:rsidR="006848DC">
        <w:rPr>
          <w:rFonts w:asciiTheme="minorHAnsi" w:hAnsiTheme="minorHAnsi"/>
          <w:sz w:val="22"/>
          <w:szCs w:val="22"/>
        </w:rPr>
        <w:t>such as an earthquake or volcanic eruption</w:t>
      </w:r>
      <w:r w:rsidRPr="00E924F3">
        <w:rPr>
          <w:rFonts w:asciiTheme="minorHAnsi" w:hAnsiTheme="minorHAnsi"/>
          <w:sz w:val="22"/>
          <w:szCs w:val="22"/>
        </w:rPr>
        <w:t>,</w:t>
      </w:r>
      <w:r>
        <w:rPr>
          <w:rFonts w:asciiTheme="minorHAnsi" w:hAnsiTheme="minorHAnsi"/>
          <w:sz w:val="22"/>
          <w:szCs w:val="22"/>
        </w:rPr>
        <w:t xml:space="preserve"> </w:t>
      </w:r>
      <w:r w:rsidRPr="00E924F3">
        <w:rPr>
          <w:rFonts w:asciiTheme="minorHAnsi" w:hAnsiTheme="minorHAnsi"/>
          <w:sz w:val="22"/>
          <w:szCs w:val="22"/>
        </w:rPr>
        <w:t>in particular</w:t>
      </w:r>
      <w:r w:rsidR="006848DC">
        <w:rPr>
          <w:rFonts w:asciiTheme="minorHAnsi" w:hAnsiTheme="minorHAnsi"/>
          <w:sz w:val="22"/>
          <w:szCs w:val="22"/>
        </w:rPr>
        <w:t xml:space="preserve"> in</w:t>
      </w:r>
      <w:r w:rsidRPr="00E924F3">
        <w:rPr>
          <w:rFonts w:asciiTheme="minorHAnsi" w:hAnsiTheme="minorHAnsi"/>
          <w:sz w:val="22"/>
          <w:szCs w:val="22"/>
        </w:rPr>
        <w:t xml:space="preserve"> Auckland</w:t>
      </w:r>
      <w:r>
        <w:rPr>
          <w:rFonts w:asciiTheme="minorHAnsi" w:hAnsiTheme="minorHAnsi"/>
          <w:sz w:val="22"/>
          <w:szCs w:val="22"/>
        </w:rPr>
        <w:t>,</w:t>
      </w:r>
      <w:r w:rsidRPr="00E924F3">
        <w:rPr>
          <w:rFonts w:asciiTheme="minorHAnsi" w:hAnsiTheme="minorHAnsi"/>
          <w:sz w:val="22"/>
          <w:szCs w:val="22"/>
        </w:rPr>
        <w:t xml:space="preserve"> </w:t>
      </w:r>
      <w:r>
        <w:rPr>
          <w:rFonts w:asciiTheme="minorHAnsi" w:hAnsiTheme="minorHAnsi"/>
          <w:sz w:val="22"/>
          <w:szCs w:val="22"/>
        </w:rPr>
        <w:t xml:space="preserve">Hamilton, </w:t>
      </w:r>
      <w:r w:rsidRPr="00E924F3">
        <w:rPr>
          <w:rFonts w:asciiTheme="minorHAnsi" w:hAnsiTheme="minorHAnsi"/>
          <w:sz w:val="22"/>
          <w:szCs w:val="22"/>
        </w:rPr>
        <w:t xml:space="preserve">Wellington </w:t>
      </w:r>
      <w:r>
        <w:rPr>
          <w:rFonts w:asciiTheme="minorHAnsi" w:hAnsiTheme="minorHAnsi"/>
          <w:sz w:val="22"/>
          <w:szCs w:val="22"/>
        </w:rPr>
        <w:t>or Christchurch</w:t>
      </w:r>
      <w:r w:rsidR="006848DC">
        <w:rPr>
          <w:rFonts w:asciiTheme="minorHAnsi" w:hAnsiTheme="minorHAnsi"/>
          <w:sz w:val="22"/>
          <w:szCs w:val="22"/>
        </w:rPr>
        <w:t>,</w:t>
      </w:r>
      <w:r>
        <w:rPr>
          <w:rFonts w:asciiTheme="minorHAnsi" w:hAnsiTheme="minorHAnsi"/>
          <w:sz w:val="22"/>
          <w:szCs w:val="22"/>
        </w:rPr>
        <w:t xml:space="preserve"> </w:t>
      </w:r>
      <w:r w:rsidRPr="00E924F3">
        <w:rPr>
          <w:rFonts w:asciiTheme="minorHAnsi" w:hAnsiTheme="minorHAnsi"/>
          <w:sz w:val="22"/>
          <w:szCs w:val="22"/>
        </w:rPr>
        <w:t xml:space="preserve">may affect the </w:t>
      </w:r>
      <w:r w:rsidR="00224C0E">
        <w:rPr>
          <w:rFonts w:asciiTheme="minorHAnsi" w:hAnsiTheme="minorHAnsi"/>
          <w:sz w:val="22"/>
          <w:szCs w:val="22"/>
        </w:rPr>
        <w:t xml:space="preserve">Property </w:t>
      </w:r>
      <w:r>
        <w:rPr>
          <w:rFonts w:asciiTheme="minorHAnsi" w:hAnsiTheme="minorHAnsi"/>
          <w:sz w:val="22"/>
          <w:szCs w:val="22"/>
        </w:rPr>
        <w:t>Fund</w:t>
      </w:r>
      <w:r w:rsidRPr="00E924F3">
        <w:rPr>
          <w:rFonts w:asciiTheme="minorHAnsi" w:hAnsiTheme="minorHAnsi"/>
          <w:sz w:val="22"/>
          <w:szCs w:val="22"/>
        </w:rPr>
        <w:t xml:space="preserve">’s assets. </w:t>
      </w:r>
      <w:r>
        <w:rPr>
          <w:rFonts w:asciiTheme="minorHAnsi" w:hAnsiTheme="minorHAnsi"/>
          <w:sz w:val="22"/>
          <w:szCs w:val="22"/>
        </w:rPr>
        <w:t xml:space="preserve"> </w:t>
      </w:r>
      <w:r w:rsidRPr="00E924F3">
        <w:rPr>
          <w:rFonts w:asciiTheme="minorHAnsi" w:hAnsiTheme="minorHAnsi"/>
          <w:sz w:val="22"/>
          <w:szCs w:val="22"/>
        </w:rPr>
        <w:t>For example</w:t>
      </w:r>
      <w:r w:rsidR="006848DC">
        <w:rPr>
          <w:rFonts w:asciiTheme="minorHAnsi" w:hAnsiTheme="minorHAnsi"/>
          <w:sz w:val="22"/>
          <w:szCs w:val="22"/>
        </w:rPr>
        <w:t xml:space="preserve"> </w:t>
      </w:r>
      <w:r w:rsidR="006848DC" w:rsidRPr="00E924F3">
        <w:rPr>
          <w:rFonts w:asciiTheme="minorHAnsi" w:hAnsiTheme="minorHAnsi"/>
          <w:sz w:val="22"/>
          <w:szCs w:val="22"/>
        </w:rPr>
        <w:t xml:space="preserve">as at </w:t>
      </w:r>
      <w:r w:rsidR="006D42FA">
        <w:rPr>
          <w:rFonts w:asciiTheme="minorHAnsi" w:hAnsiTheme="minorHAnsi"/>
          <w:sz w:val="22"/>
          <w:szCs w:val="22"/>
        </w:rPr>
        <w:t xml:space="preserve"> </w:t>
      </w:r>
      <w:r w:rsidR="000E5FC5">
        <w:rPr>
          <w:rFonts w:asciiTheme="minorHAnsi" w:hAnsiTheme="minorHAnsi"/>
          <w:sz w:val="22"/>
          <w:szCs w:val="22"/>
        </w:rPr>
        <w:t xml:space="preserve">1 April </w:t>
      </w:r>
      <w:r w:rsidR="006D42FA">
        <w:rPr>
          <w:rFonts w:asciiTheme="minorHAnsi" w:hAnsiTheme="minorHAnsi"/>
          <w:sz w:val="22"/>
          <w:szCs w:val="22"/>
        </w:rPr>
        <w:t>2020</w:t>
      </w:r>
      <w:r w:rsidRPr="00E924F3">
        <w:rPr>
          <w:rFonts w:asciiTheme="minorHAnsi" w:hAnsiTheme="minorHAnsi"/>
          <w:sz w:val="22"/>
          <w:szCs w:val="22"/>
        </w:rPr>
        <w:t>,</w:t>
      </w:r>
      <w:r>
        <w:rPr>
          <w:rFonts w:asciiTheme="minorHAnsi" w:hAnsiTheme="minorHAnsi"/>
          <w:sz w:val="22"/>
          <w:szCs w:val="22"/>
        </w:rPr>
        <w:t xml:space="preserve"> </w:t>
      </w:r>
      <w:r w:rsidRPr="00E924F3">
        <w:rPr>
          <w:rFonts w:asciiTheme="minorHAnsi" w:hAnsiTheme="minorHAnsi"/>
          <w:sz w:val="22"/>
          <w:szCs w:val="22"/>
        </w:rPr>
        <w:t xml:space="preserve">the </w:t>
      </w:r>
      <w:r w:rsidR="00224C0E">
        <w:rPr>
          <w:rFonts w:asciiTheme="minorHAnsi" w:hAnsiTheme="minorHAnsi"/>
          <w:sz w:val="22"/>
          <w:szCs w:val="22"/>
        </w:rPr>
        <w:t xml:space="preserve">Property </w:t>
      </w:r>
      <w:r>
        <w:rPr>
          <w:rFonts w:asciiTheme="minorHAnsi" w:hAnsiTheme="minorHAnsi"/>
          <w:sz w:val="22"/>
          <w:szCs w:val="22"/>
        </w:rPr>
        <w:t>Fund</w:t>
      </w:r>
      <w:r w:rsidRPr="00E924F3">
        <w:rPr>
          <w:rFonts w:asciiTheme="minorHAnsi" w:hAnsiTheme="minorHAnsi"/>
          <w:sz w:val="22"/>
          <w:szCs w:val="22"/>
        </w:rPr>
        <w:t xml:space="preserve">’s assets (by valuation) </w:t>
      </w:r>
      <w:r w:rsidR="006848DC">
        <w:rPr>
          <w:rFonts w:asciiTheme="minorHAnsi" w:hAnsiTheme="minorHAnsi"/>
          <w:sz w:val="22"/>
          <w:szCs w:val="22"/>
        </w:rPr>
        <w:t>we</w:t>
      </w:r>
      <w:r w:rsidRPr="00E924F3">
        <w:rPr>
          <w:rFonts w:asciiTheme="minorHAnsi" w:hAnsiTheme="minorHAnsi"/>
          <w:sz w:val="22"/>
          <w:szCs w:val="22"/>
        </w:rPr>
        <w:t>re</w:t>
      </w:r>
      <w:r>
        <w:rPr>
          <w:rFonts w:asciiTheme="minorHAnsi" w:hAnsiTheme="minorHAnsi"/>
          <w:sz w:val="22"/>
          <w:szCs w:val="22"/>
        </w:rPr>
        <w:t xml:space="preserve"> </w:t>
      </w:r>
      <w:r w:rsidRPr="00E924F3">
        <w:rPr>
          <w:rFonts w:asciiTheme="minorHAnsi" w:hAnsiTheme="minorHAnsi"/>
          <w:sz w:val="22"/>
          <w:szCs w:val="22"/>
        </w:rPr>
        <w:t xml:space="preserve">concentrated in Auckland (approximately </w:t>
      </w:r>
      <w:r w:rsidR="006D42FA">
        <w:rPr>
          <w:rFonts w:asciiTheme="minorHAnsi" w:hAnsiTheme="minorHAnsi"/>
          <w:sz w:val="22"/>
          <w:szCs w:val="22"/>
        </w:rPr>
        <w:t>57</w:t>
      </w:r>
      <w:r w:rsidRPr="00E924F3">
        <w:rPr>
          <w:rFonts w:asciiTheme="minorHAnsi" w:hAnsiTheme="minorHAnsi"/>
          <w:sz w:val="22"/>
          <w:szCs w:val="22"/>
        </w:rPr>
        <w:t>%)</w:t>
      </w:r>
      <w:r>
        <w:rPr>
          <w:rFonts w:asciiTheme="minorHAnsi" w:hAnsiTheme="minorHAnsi"/>
          <w:sz w:val="22"/>
          <w:szCs w:val="22"/>
        </w:rPr>
        <w:t xml:space="preserve">, Hamilton </w:t>
      </w:r>
      <w:r w:rsidRPr="00E924F3">
        <w:rPr>
          <w:rFonts w:asciiTheme="minorHAnsi" w:hAnsiTheme="minorHAnsi"/>
          <w:sz w:val="22"/>
          <w:szCs w:val="22"/>
        </w:rPr>
        <w:t xml:space="preserve">(approximately </w:t>
      </w:r>
      <w:r w:rsidR="006D42FA">
        <w:rPr>
          <w:rFonts w:asciiTheme="minorHAnsi" w:hAnsiTheme="minorHAnsi"/>
          <w:sz w:val="22"/>
          <w:szCs w:val="22"/>
        </w:rPr>
        <w:t>7</w:t>
      </w:r>
      <w:r w:rsidRPr="00E924F3">
        <w:rPr>
          <w:rFonts w:asciiTheme="minorHAnsi" w:hAnsiTheme="minorHAnsi"/>
          <w:sz w:val="22"/>
          <w:szCs w:val="22"/>
        </w:rPr>
        <w:t>%)</w:t>
      </w:r>
      <w:r>
        <w:rPr>
          <w:rFonts w:asciiTheme="minorHAnsi" w:hAnsiTheme="minorHAnsi"/>
          <w:sz w:val="22"/>
          <w:szCs w:val="22"/>
        </w:rPr>
        <w:t xml:space="preserve">, </w:t>
      </w:r>
      <w:r w:rsidRPr="00E924F3">
        <w:rPr>
          <w:rFonts w:asciiTheme="minorHAnsi" w:hAnsiTheme="minorHAnsi"/>
          <w:sz w:val="22"/>
          <w:szCs w:val="22"/>
        </w:rPr>
        <w:t xml:space="preserve">Wellington (approximately </w:t>
      </w:r>
      <w:r w:rsidR="006D42FA">
        <w:rPr>
          <w:rFonts w:asciiTheme="minorHAnsi" w:hAnsiTheme="minorHAnsi"/>
          <w:sz w:val="22"/>
          <w:szCs w:val="22"/>
        </w:rPr>
        <w:t>2</w:t>
      </w:r>
      <w:r w:rsidRPr="00E924F3">
        <w:rPr>
          <w:rFonts w:asciiTheme="minorHAnsi" w:hAnsiTheme="minorHAnsi"/>
          <w:sz w:val="22"/>
          <w:szCs w:val="22"/>
        </w:rPr>
        <w:t>%)</w:t>
      </w:r>
      <w:r>
        <w:rPr>
          <w:rFonts w:asciiTheme="minorHAnsi" w:hAnsiTheme="minorHAnsi"/>
          <w:sz w:val="22"/>
          <w:szCs w:val="22"/>
        </w:rPr>
        <w:t xml:space="preserve"> and Christchurch </w:t>
      </w:r>
      <w:r w:rsidRPr="00E924F3">
        <w:rPr>
          <w:rFonts w:asciiTheme="minorHAnsi" w:hAnsiTheme="minorHAnsi"/>
          <w:sz w:val="22"/>
          <w:szCs w:val="22"/>
        </w:rPr>
        <w:t xml:space="preserve">(approximately </w:t>
      </w:r>
      <w:r w:rsidR="006D42FA">
        <w:rPr>
          <w:rFonts w:asciiTheme="minorHAnsi" w:hAnsiTheme="minorHAnsi"/>
          <w:sz w:val="22"/>
          <w:szCs w:val="22"/>
        </w:rPr>
        <w:t>33</w:t>
      </w:r>
      <w:r w:rsidRPr="00E924F3">
        <w:rPr>
          <w:rFonts w:asciiTheme="minorHAnsi" w:hAnsiTheme="minorHAnsi"/>
          <w:sz w:val="22"/>
          <w:szCs w:val="22"/>
        </w:rPr>
        <w:t>%).</w:t>
      </w:r>
      <w:r>
        <w:rPr>
          <w:rFonts w:asciiTheme="minorHAnsi" w:hAnsiTheme="minorHAnsi"/>
          <w:sz w:val="22"/>
          <w:szCs w:val="22"/>
        </w:rPr>
        <w:t xml:space="preserve">  </w:t>
      </w:r>
      <w:r w:rsidRPr="00E924F3">
        <w:rPr>
          <w:rFonts w:asciiTheme="minorHAnsi" w:hAnsiTheme="minorHAnsi"/>
          <w:sz w:val="22"/>
          <w:szCs w:val="22"/>
        </w:rPr>
        <w:t>If a natural disaster occurred</w:t>
      </w:r>
      <w:r>
        <w:rPr>
          <w:rFonts w:asciiTheme="minorHAnsi" w:hAnsiTheme="minorHAnsi"/>
          <w:sz w:val="22"/>
          <w:szCs w:val="22"/>
        </w:rPr>
        <w:t xml:space="preserve"> </w:t>
      </w:r>
      <w:r w:rsidRPr="00E924F3">
        <w:rPr>
          <w:rFonts w:asciiTheme="minorHAnsi" w:hAnsiTheme="minorHAnsi"/>
          <w:sz w:val="22"/>
          <w:szCs w:val="22"/>
        </w:rPr>
        <w:t>that was centred in Auckland</w:t>
      </w:r>
      <w:r>
        <w:rPr>
          <w:rFonts w:asciiTheme="minorHAnsi" w:hAnsiTheme="minorHAnsi"/>
          <w:sz w:val="22"/>
          <w:szCs w:val="22"/>
        </w:rPr>
        <w:t>, Hamilton,</w:t>
      </w:r>
      <w:r w:rsidRPr="00E924F3">
        <w:rPr>
          <w:rFonts w:asciiTheme="minorHAnsi" w:hAnsiTheme="minorHAnsi"/>
          <w:sz w:val="22"/>
          <w:szCs w:val="22"/>
        </w:rPr>
        <w:t xml:space="preserve"> Wellington</w:t>
      </w:r>
      <w:r>
        <w:rPr>
          <w:rFonts w:asciiTheme="minorHAnsi" w:hAnsiTheme="minorHAnsi"/>
          <w:sz w:val="22"/>
          <w:szCs w:val="22"/>
        </w:rPr>
        <w:t xml:space="preserve"> or Christchurch</w:t>
      </w:r>
      <w:r w:rsidRPr="00E924F3">
        <w:rPr>
          <w:rFonts w:asciiTheme="minorHAnsi" w:hAnsiTheme="minorHAnsi"/>
          <w:sz w:val="22"/>
          <w:szCs w:val="22"/>
        </w:rPr>
        <w:t xml:space="preserve">, a </w:t>
      </w:r>
      <w:r w:rsidR="004F3A0E">
        <w:rPr>
          <w:rFonts w:asciiTheme="minorHAnsi" w:hAnsiTheme="minorHAnsi"/>
          <w:sz w:val="22"/>
          <w:szCs w:val="22"/>
        </w:rPr>
        <w:t xml:space="preserve">significant </w:t>
      </w:r>
      <w:r w:rsidRPr="00E924F3">
        <w:rPr>
          <w:rFonts w:asciiTheme="minorHAnsi" w:hAnsiTheme="minorHAnsi"/>
          <w:sz w:val="22"/>
          <w:szCs w:val="22"/>
        </w:rPr>
        <w:t xml:space="preserve">portion of </w:t>
      </w:r>
      <w:r>
        <w:rPr>
          <w:rFonts w:asciiTheme="minorHAnsi" w:hAnsiTheme="minorHAnsi"/>
          <w:sz w:val="22"/>
          <w:szCs w:val="22"/>
        </w:rPr>
        <w:t>the Fund</w:t>
      </w:r>
      <w:r w:rsidRPr="00E924F3">
        <w:rPr>
          <w:rFonts w:asciiTheme="minorHAnsi" w:hAnsiTheme="minorHAnsi"/>
          <w:sz w:val="22"/>
          <w:szCs w:val="22"/>
        </w:rPr>
        <w:t>’s property assets could be impacted.</w:t>
      </w:r>
    </w:p>
    <w:p w:rsidR="00E924F3" w:rsidRDefault="00BE47F4" w:rsidP="00E924F3">
      <w:pPr>
        <w:spacing w:before="240"/>
        <w:rPr>
          <w:rFonts w:asciiTheme="minorHAnsi" w:hAnsiTheme="minorHAnsi"/>
          <w:sz w:val="22"/>
          <w:szCs w:val="22"/>
        </w:rPr>
      </w:pPr>
      <w:r>
        <w:rPr>
          <w:rFonts w:asciiTheme="minorHAnsi" w:hAnsiTheme="minorHAnsi"/>
          <w:sz w:val="22"/>
          <w:szCs w:val="22"/>
        </w:rPr>
        <w:t xml:space="preserve">The </w:t>
      </w:r>
      <w:r w:rsidR="00224C0E">
        <w:rPr>
          <w:rFonts w:asciiTheme="minorHAnsi" w:hAnsiTheme="minorHAnsi"/>
          <w:sz w:val="22"/>
          <w:szCs w:val="22"/>
        </w:rPr>
        <w:t xml:space="preserve">Property </w:t>
      </w:r>
      <w:r>
        <w:rPr>
          <w:rFonts w:asciiTheme="minorHAnsi" w:hAnsiTheme="minorHAnsi"/>
          <w:sz w:val="22"/>
          <w:szCs w:val="22"/>
        </w:rPr>
        <w:t>Fund ha</w:t>
      </w:r>
      <w:r w:rsidR="00224C0E">
        <w:rPr>
          <w:rFonts w:asciiTheme="minorHAnsi" w:hAnsiTheme="minorHAnsi"/>
          <w:sz w:val="22"/>
          <w:szCs w:val="22"/>
        </w:rPr>
        <w:t>s</w:t>
      </w:r>
      <w:r>
        <w:rPr>
          <w:rFonts w:asciiTheme="minorHAnsi" w:hAnsiTheme="minorHAnsi"/>
          <w:sz w:val="22"/>
          <w:szCs w:val="22"/>
        </w:rPr>
        <w:t xml:space="preserve"> insurance in place to cover reasonably insurable risks, including damage by earthquake, however t</w:t>
      </w:r>
      <w:r w:rsidR="00E924F3" w:rsidRPr="00E924F3">
        <w:rPr>
          <w:rFonts w:asciiTheme="minorHAnsi" w:hAnsiTheme="minorHAnsi"/>
          <w:sz w:val="22"/>
          <w:szCs w:val="22"/>
        </w:rPr>
        <w:t>here is a risk that insurance proceeds may not cover all of the</w:t>
      </w:r>
      <w:r w:rsidR="00E924F3">
        <w:rPr>
          <w:rFonts w:asciiTheme="minorHAnsi" w:hAnsiTheme="minorHAnsi"/>
          <w:sz w:val="22"/>
          <w:szCs w:val="22"/>
        </w:rPr>
        <w:t xml:space="preserve"> </w:t>
      </w:r>
      <w:r w:rsidR="00E924F3" w:rsidRPr="00E924F3">
        <w:rPr>
          <w:rFonts w:asciiTheme="minorHAnsi" w:hAnsiTheme="minorHAnsi"/>
          <w:sz w:val="22"/>
          <w:szCs w:val="22"/>
        </w:rPr>
        <w:t>costs resulting from an insurable event, that insurance claims</w:t>
      </w:r>
      <w:r w:rsidR="00E924F3">
        <w:rPr>
          <w:rFonts w:asciiTheme="minorHAnsi" w:hAnsiTheme="minorHAnsi"/>
          <w:sz w:val="22"/>
          <w:szCs w:val="22"/>
        </w:rPr>
        <w:t xml:space="preserve"> </w:t>
      </w:r>
      <w:r w:rsidR="00E924F3" w:rsidRPr="00E924F3">
        <w:rPr>
          <w:rFonts w:asciiTheme="minorHAnsi" w:hAnsiTheme="minorHAnsi"/>
          <w:sz w:val="22"/>
          <w:szCs w:val="22"/>
        </w:rPr>
        <w:t>may be disputed after an insurable event, or that such an event</w:t>
      </w:r>
      <w:r w:rsidR="00E924F3">
        <w:rPr>
          <w:rFonts w:asciiTheme="minorHAnsi" w:hAnsiTheme="minorHAnsi"/>
          <w:sz w:val="22"/>
          <w:szCs w:val="22"/>
        </w:rPr>
        <w:t xml:space="preserve"> </w:t>
      </w:r>
      <w:r w:rsidR="00E924F3" w:rsidRPr="00E924F3">
        <w:rPr>
          <w:rFonts w:asciiTheme="minorHAnsi" w:hAnsiTheme="minorHAnsi"/>
          <w:sz w:val="22"/>
          <w:szCs w:val="22"/>
        </w:rPr>
        <w:t>makes subsequent insurance cover difficult or costly to obtain.</w:t>
      </w:r>
    </w:p>
    <w:p w:rsidR="00E924F3" w:rsidRDefault="00E924F3" w:rsidP="00E924F3">
      <w:pPr>
        <w:spacing w:before="240"/>
        <w:rPr>
          <w:rFonts w:asciiTheme="minorHAnsi" w:hAnsiTheme="minorHAnsi"/>
          <w:sz w:val="22"/>
          <w:szCs w:val="22"/>
        </w:rPr>
      </w:pPr>
      <w:r w:rsidRPr="00E924F3">
        <w:rPr>
          <w:rFonts w:asciiTheme="minorHAnsi" w:hAnsiTheme="minorHAnsi"/>
          <w:sz w:val="22"/>
          <w:szCs w:val="22"/>
        </w:rPr>
        <w:t>A reduction</w:t>
      </w:r>
      <w:r>
        <w:rPr>
          <w:rFonts w:asciiTheme="minorHAnsi" w:hAnsiTheme="minorHAnsi"/>
          <w:sz w:val="22"/>
          <w:szCs w:val="22"/>
        </w:rPr>
        <w:t xml:space="preserve"> </w:t>
      </w:r>
      <w:r w:rsidRPr="00E924F3">
        <w:rPr>
          <w:rFonts w:asciiTheme="minorHAnsi" w:hAnsiTheme="minorHAnsi"/>
          <w:sz w:val="22"/>
          <w:szCs w:val="22"/>
        </w:rPr>
        <w:t xml:space="preserve">or interruption in rental income from the </w:t>
      </w:r>
      <w:r w:rsidR="00224C0E">
        <w:rPr>
          <w:rFonts w:asciiTheme="minorHAnsi" w:hAnsiTheme="minorHAnsi"/>
          <w:sz w:val="22"/>
          <w:szCs w:val="22"/>
        </w:rPr>
        <w:t xml:space="preserve">Property </w:t>
      </w:r>
      <w:r>
        <w:rPr>
          <w:rFonts w:asciiTheme="minorHAnsi" w:hAnsiTheme="minorHAnsi"/>
          <w:sz w:val="22"/>
          <w:szCs w:val="22"/>
        </w:rPr>
        <w:t xml:space="preserve">Fund’s </w:t>
      </w:r>
      <w:r w:rsidRPr="00E924F3">
        <w:rPr>
          <w:rFonts w:asciiTheme="minorHAnsi" w:hAnsiTheme="minorHAnsi"/>
          <w:sz w:val="22"/>
          <w:szCs w:val="22"/>
        </w:rPr>
        <w:t xml:space="preserve">properties caused by </w:t>
      </w:r>
      <w:r w:rsidR="004E05D8">
        <w:rPr>
          <w:rFonts w:asciiTheme="minorHAnsi" w:hAnsiTheme="minorHAnsi"/>
          <w:sz w:val="22"/>
          <w:szCs w:val="22"/>
        </w:rPr>
        <w:t xml:space="preserve">a natural disaster </w:t>
      </w:r>
      <w:r w:rsidRPr="00E924F3">
        <w:rPr>
          <w:rFonts w:asciiTheme="minorHAnsi" w:hAnsiTheme="minorHAnsi"/>
          <w:sz w:val="22"/>
          <w:szCs w:val="22"/>
        </w:rPr>
        <w:t>could materially</w:t>
      </w:r>
      <w:r>
        <w:rPr>
          <w:rFonts w:asciiTheme="minorHAnsi" w:hAnsiTheme="minorHAnsi"/>
          <w:sz w:val="22"/>
          <w:szCs w:val="22"/>
        </w:rPr>
        <w:t xml:space="preserve"> </w:t>
      </w:r>
      <w:r w:rsidRPr="00E924F3">
        <w:rPr>
          <w:rFonts w:asciiTheme="minorHAnsi" w:hAnsiTheme="minorHAnsi"/>
          <w:sz w:val="22"/>
          <w:szCs w:val="22"/>
        </w:rPr>
        <w:t>negatively impact on th</w:t>
      </w:r>
      <w:r w:rsidR="00B3074B">
        <w:rPr>
          <w:rFonts w:asciiTheme="minorHAnsi" w:hAnsiTheme="minorHAnsi"/>
          <w:sz w:val="22"/>
          <w:szCs w:val="22"/>
        </w:rPr>
        <w:t>e</w:t>
      </w:r>
      <w:r w:rsidRPr="00E924F3">
        <w:rPr>
          <w:rFonts w:asciiTheme="minorHAnsi" w:hAnsiTheme="minorHAnsi"/>
          <w:sz w:val="22"/>
          <w:szCs w:val="22"/>
        </w:rPr>
        <w:t xml:space="preserve"> </w:t>
      </w:r>
      <w:r w:rsidR="004E05D8">
        <w:rPr>
          <w:rFonts w:asciiTheme="minorHAnsi" w:hAnsiTheme="minorHAnsi"/>
          <w:sz w:val="22"/>
          <w:szCs w:val="22"/>
        </w:rPr>
        <w:t xml:space="preserve">Fund’s </w:t>
      </w:r>
      <w:r w:rsidRPr="00E924F3">
        <w:rPr>
          <w:rFonts w:asciiTheme="minorHAnsi" w:hAnsiTheme="minorHAnsi"/>
          <w:sz w:val="22"/>
          <w:szCs w:val="22"/>
        </w:rPr>
        <w:t>financial performance.</w:t>
      </w:r>
      <w:r w:rsidR="004E05D8">
        <w:rPr>
          <w:rFonts w:asciiTheme="minorHAnsi" w:hAnsiTheme="minorHAnsi"/>
          <w:sz w:val="22"/>
          <w:szCs w:val="22"/>
        </w:rPr>
        <w:t xml:space="preserve">  </w:t>
      </w:r>
      <w:r w:rsidRPr="00E924F3">
        <w:rPr>
          <w:rFonts w:asciiTheme="minorHAnsi" w:hAnsiTheme="minorHAnsi"/>
          <w:sz w:val="22"/>
          <w:szCs w:val="22"/>
        </w:rPr>
        <w:t xml:space="preserve">In addition, a reduction in the market value of </w:t>
      </w:r>
      <w:r w:rsidR="004E05D8">
        <w:rPr>
          <w:rFonts w:asciiTheme="minorHAnsi" w:hAnsiTheme="minorHAnsi"/>
          <w:sz w:val="22"/>
          <w:szCs w:val="22"/>
        </w:rPr>
        <w:t xml:space="preserve">the </w:t>
      </w:r>
      <w:r w:rsidRPr="00E924F3">
        <w:rPr>
          <w:rFonts w:asciiTheme="minorHAnsi" w:hAnsiTheme="minorHAnsi"/>
          <w:sz w:val="22"/>
          <w:szCs w:val="22"/>
        </w:rPr>
        <w:t>property</w:t>
      </w:r>
      <w:r>
        <w:rPr>
          <w:rFonts w:asciiTheme="minorHAnsi" w:hAnsiTheme="minorHAnsi"/>
          <w:sz w:val="22"/>
          <w:szCs w:val="22"/>
        </w:rPr>
        <w:t xml:space="preserve"> </w:t>
      </w:r>
      <w:r w:rsidRPr="00E924F3">
        <w:rPr>
          <w:rFonts w:asciiTheme="minorHAnsi" w:hAnsiTheme="minorHAnsi"/>
          <w:sz w:val="22"/>
          <w:szCs w:val="22"/>
        </w:rPr>
        <w:t>assets (whether from reduced rental returns or other market</w:t>
      </w:r>
      <w:r>
        <w:rPr>
          <w:rFonts w:asciiTheme="minorHAnsi" w:hAnsiTheme="minorHAnsi"/>
          <w:sz w:val="22"/>
          <w:szCs w:val="22"/>
        </w:rPr>
        <w:t xml:space="preserve"> </w:t>
      </w:r>
      <w:r w:rsidRPr="00E924F3">
        <w:rPr>
          <w:rFonts w:asciiTheme="minorHAnsi" w:hAnsiTheme="minorHAnsi"/>
          <w:sz w:val="22"/>
          <w:szCs w:val="22"/>
        </w:rPr>
        <w:t xml:space="preserve">factors) </w:t>
      </w:r>
      <w:r w:rsidR="00B3074B">
        <w:rPr>
          <w:rFonts w:asciiTheme="minorHAnsi" w:hAnsiTheme="minorHAnsi"/>
          <w:sz w:val="22"/>
          <w:szCs w:val="22"/>
        </w:rPr>
        <w:t>w</w:t>
      </w:r>
      <w:r w:rsidRPr="00E924F3">
        <w:rPr>
          <w:rFonts w:asciiTheme="minorHAnsi" w:hAnsiTheme="minorHAnsi"/>
          <w:sz w:val="22"/>
          <w:szCs w:val="22"/>
        </w:rPr>
        <w:t xml:space="preserve">ould negatively impact </w:t>
      </w:r>
      <w:r w:rsidR="004E05D8">
        <w:rPr>
          <w:rFonts w:asciiTheme="minorHAnsi" w:hAnsiTheme="minorHAnsi"/>
          <w:sz w:val="22"/>
          <w:szCs w:val="22"/>
        </w:rPr>
        <w:t xml:space="preserve">the value of the </w:t>
      </w:r>
      <w:r w:rsidR="00224C0E">
        <w:rPr>
          <w:rFonts w:asciiTheme="minorHAnsi" w:hAnsiTheme="minorHAnsi"/>
          <w:sz w:val="22"/>
          <w:szCs w:val="22"/>
        </w:rPr>
        <w:t xml:space="preserve">Property </w:t>
      </w:r>
      <w:r w:rsidR="004E05D8">
        <w:rPr>
          <w:rFonts w:asciiTheme="minorHAnsi" w:hAnsiTheme="minorHAnsi"/>
          <w:sz w:val="22"/>
          <w:szCs w:val="22"/>
        </w:rPr>
        <w:t>Fund</w:t>
      </w:r>
      <w:r w:rsidR="006848DC">
        <w:rPr>
          <w:rFonts w:asciiTheme="minorHAnsi" w:hAnsiTheme="minorHAnsi"/>
          <w:sz w:val="22"/>
          <w:szCs w:val="22"/>
        </w:rPr>
        <w:t xml:space="preserve"> </w:t>
      </w:r>
      <w:r w:rsidR="00B3074B">
        <w:rPr>
          <w:rFonts w:asciiTheme="minorHAnsi" w:hAnsiTheme="minorHAnsi"/>
          <w:sz w:val="22"/>
          <w:szCs w:val="22"/>
        </w:rPr>
        <w:t xml:space="preserve">and </w:t>
      </w:r>
      <w:r w:rsidR="006848DC">
        <w:rPr>
          <w:rFonts w:asciiTheme="minorHAnsi" w:hAnsiTheme="minorHAnsi"/>
          <w:sz w:val="22"/>
          <w:szCs w:val="22"/>
        </w:rPr>
        <w:t>reduc</w:t>
      </w:r>
      <w:r w:rsidR="00B3074B">
        <w:rPr>
          <w:rFonts w:asciiTheme="minorHAnsi" w:hAnsiTheme="minorHAnsi"/>
          <w:sz w:val="22"/>
          <w:szCs w:val="22"/>
        </w:rPr>
        <w:t>e the value of</w:t>
      </w:r>
      <w:r w:rsidR="006848DC">
        <w:rPr>
          <w:rFonts w:asciiTheme="minorHAnsi" w:hAnsiTheme="minorHAnsi"/>
          <w:sz w:val="22"/>
          <w:szCs w:val="22"/>
        </w:rPr>
        <w:t xml:space="preserve"> your investment </w:t>
      </w:r>
      <w:r w:rsidR="00B3074B">
        <w:rPr>
          <w:rFonts w:asciiTheme="minorHAnsi" w:hAnsiTheme="minorHAnsi"/>
          <w:sz w:val="22"/>
          <w:szCs w:val="22"/>
        </w:rPr>
        <w:t>in the Fund</w:t>
      </w:r>
      <w:r w:rsidR="004E05D8">
        <w:rPr>
          <w:rFonts w:asciiTheme="minorHAnsi" w:hAnsiTheme="minorHAnsi"/>
          <w:sz w:val="22"/>
          <w:szCs w:val="22"/>
        </w:rPr>
        <w:t>.</w:t>
      </w:r>
    </w:p>
    <w:p w:rsidR="000E5FC5" w:rsidRDefault="000E5FC5">
      <w:pPr>
        <w:overflowPunct/>
        <w:autoSpaceDE/>
        <w:autoSpaceDN/>
        <w:adjustRightInd/>
        <w:spacing w:after="0"/>
        <w:jc w:val="left"/>
        <w:textAlignment w:val="auto"/>
        <w:rPr>
          <w:rFonts w:asciiTheme="minorHAnsi" w:hAnsiTheme="minorHAnsi"/>
          <w:b/>
          <w:color w:val="00B050"/>
          <w:sz w:val="28"/>
          <w:szCs w:val="28"/>
        </w:rPr>
      </w:pPr>
      <w:r>
        <w:br w:type="page"/>
      </w:r>
    </w:p>
    <w:p w:rsidR="0021271B" w:rsidRPr="00B77A13" w:rsidRDefault="005D607B" w:rsidP="0021271B">
      <w:pPr>
        <w:pStyle w:val="Heading2"/>
      </w:pPr>
      <w:r>
        <w:rPr>
          <w:noProof/>
          <w:sz w:val="22"/>
          <w:szCs w:val="22"/>
        </w:rPr>
        <mc:AlternateContent>
          <mc:Choice Requires="wps">
            <w:drawing>
              <wp:anchor distT="0" distB="0" distL="114300" distR="114300" simplePos="0" relativeHeight="251667456" behindDoc="0" locked="0" layoutInCell="1" allowOverlap="1" wp14:anchorId="77B573F7" wp14:editId="151CC8C0">
                <wp:simplePos x="0" y="0"/>
                <wp:positionH relativeFrom="margin">
                  <wp:align>center</wp:align>
                </wp:positionH>
                <wp:positionV relativeFrom="paragraph">
                  <wp:posOffset>-577433</wp:posOffset>
                </wp:positionV>
                <wp:extent cx="7105650" cy="10218420"/>
                <wp:effectExtent l="0" t="0" r="19050" b="11430"/>
                <wp:wrapNone/>
                <wp:docPr id="14" name="Rectangle: Diagonal Corners Rounded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7105650" cy="10218420"/>
                        </a:xfrm>
                        <a:prstGeom prst="round2DiagRect">
                          <a:avLst/>
                        </a:prstGeom>
                        <a:noFill/>
                        <a:ln w="25400" cap="flat" cmpd="sng" algn="ctr">
                          <a:solidFill>
                            <a:srgbClr val="009900"/>
                          </a:solid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1FDC193" id="Rectangle: Diagonal Corners Rounded 14" o:spid="_x0000_s1026" style="position:absolute;margin-left:0;margin-top:-45.45pt;width:559.5pt;height:804.6pt;rotation:180;flip:x;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w10:wrap anchorx="margin"/>
              </v:shape>
            </w:pict>
          </mc:Fallback>
        </mc:AlternateContent>
      </w:r>
      <w:r w:rsidR="0021271B">
        <w:t>PIE status risk</w:t>
      </w:r>
    </w:p>
    <w:p w:rsidR="0021271B" w:rsidRDefault="0021271B" w:rsidP="0021271B">
      <w:pPr>
        <w:spacing w:before="240"/>
        <w:rPr>
          <w:rFonts w:asciiTheme="minorHAnsi" w:hAnsiTheme="minorHAnsi"/>
          <w:sz w:val="22"/>
          <w:szCs w:val="22"/>
        </w:rPr>
      </w:pPr>
      <w:r>
        <w:rPr>
          <w:rFonts w:asciiTheme="minorHAnsi" w:hAnsiTheme="minorHAnsi"/>
          <w:sz w:val="22"/>
          <w:szCs w:val="22"/>
        </w:rPr>
        <w:t xml:space="preserve">Should the </w:t>
      </w:r>
      <w:r w:rsidR="004A510F">
        <w:rPr>
          <w:rFonts w:asciiTheme="minorHAnsi" w:hAnsiTheme="minorHAnsi"/>
          <w:sz w:val="22"/>
          <w:szCs w:val="22"/>
        </w:rPr>
        <w:t>F</w:t>
      </w:r>
      <w:r>
        <w:rPr>
          <w:rFonts w:asciiTheme="minorHAnsi" w:hAnsiTheme="minorHAnsi"/>
          <w:sz w:val="22"/>
          <w:szCs w:val="22"/>
        </w:rPr>
        <w:t>und</w:t>
      </w:r>
      <w:r w:rsidR="004A510F">
        <w:rPr>
          <w:rFonts w:asciiTheme="minorHAnsi" w:hAnsiTheme="minorHAnsi"/>
          <w:sz w:val="22"/>
          <w:szCs w:val="22"/>
        </w:rPr>
        <w:t>s</w:t>
      </w:r>
      <w:r>
        <w:rPr>
          <w:rFonts w:asciiTheme="minorHAnsi" w:hAnsiTheme="minorHAnsi"/>
          <w:sz w:val="22"/>
          <w:szCs w:val="22"/>
        </w:rPr>
        <w:t xml:space="preserve"> fail to satisfy the PIE eligibility criteria necessary to retain PIE status, this would result in the funds being taxed at 28%, rather than the individual Prescribed Investor Rate of investors. It may also result in the funds being taxed on investment gains. </w:t>
      </w:r>
    </w:p>
    <w:p w:rsidR="0021271B" w:rsidRPr="00267428" w:rsidRDefault="004A510F" w:rsidP="00E924F3">
      <w:pPr>
        <w:spacing w:before="240"/>
        <w:rPr>
          <w:rFonts w:asciiTheme="minorHAnsi" w:hAnsiTheme="minorHAnsi"/>
          <w:sz w:val="22"/>
          <w:szCs w:val="22"/>
        </w:rPr>
      </w:pPr>
      <w:r>
        <w:rPr>
          <w:rFonts w:asciiTheme="minorHAnsi" w:hAnsiTheme="minorHAnsi"/>
          <w:sz w:val="22"/>
          <w:szCs w:val="22"/>
        </w:rPr>
        <w:t>The factors influ</w:t>
      </w:r>
      <w:r w:rsidR="007C353D">
        <w:rPr>
          <w:rFonts w:asciiTheme="minorHAnsi" w:hAnsiTheme="minorHAnsi"/>
          <w:sz w:val="22"/>
          <w:szCs w:val="22"/>
        </w:rPr>
        <w:t>en</w:t>
      </w:r>
      <w:r>
        <w:rPr>
          <w:rFonts w:asciiTheme="minorHAnsi" w:hAnsiTheme="minorHAnsi"/>
          <w:sz w:val="22"/>
          <w:szCs w:val="22"/>
        </w:rPr>
        <w:t>cing the F</w:t>
      </w:r>
      <w:r w:rsidR="0021271B">
        <w:rPr>
          <w:rFonts w:asciiTheme="minorHAnsi" w:hAnsiTheme="minorHAnsi"/>
          <w:sz w:val="22"/>
          <w:szCs w:val="22"/>
        </w:rPr>
        <w:t>unds</w:t>
      </w:r>
      <w:r>
        <w:rPr>
          <w:rFonts w:asciiTheme="minorHAnsi" w:hAnsiTheme="minorHAnsi"/>
          <w:sz w:val="22"/>
          <w:szCs w:val="22"/>
        </w:rPr>
        <w:t>’</w:t>
      </w:r>
      <w:r w:rsidR="0021271B">
        <w:rPr>
          <w:rFonts w:asciiTheme="minorHAnsi" w:hAnsiTheme="minorHAnsi"/>
          <w:sz w:val="22"/>
          <w:szCs w:val="22"/>
        </w:rPr>
        <w:t xml:space="preserve"> PIE status </w:t>
      </w:r>
      <w:r w:rsidR="007C353D">
        <w:rPr>
          <w:rFonts w:asciiTheme="minorHAnsi" w:hAnsiTheme="minorHAnsi"/>
          <w:sz w:val="22"/>
          <w:szCs w:val="22"/>
        </w:rPr>
        <w:t>are</w:t>
      </w:r>
      <w:r w:rsidR="0021271B">
        <w:rPr>
          <w:rFonts w:asciiTheme="minorHAnsi" w:hAnsiTheme="minorHAnsi"/>
          <w:sz w:val="22"/>
          <w:szCs w:val="22"/>
        </w:rPr>
        <w:t xml:space="preserve"> regularly monitored, and processes are in place to minimise potential breaches of PIE eligibility </w:t>
      </w:r>
      <w:r w:rsidR="00E912B0">
        <w:rPr>
          <w:rFonts w:asciiTheme="minorHAnsi" w:hAnsiTheme="minorHAnsi"/>
          <w:sz w:val="22"/>
          <w:szCs w:val="22"/>
        </w:rPr>
        <w:t>criteria</w:t>
      </w:r>
      <w:r w:rsidR="0021271B">
        <w:rPr>
          <w:rFonts w:asciiTheme="minorHAnsi" w:hAnsiTheme="minorHAnsi"/>
          <w:sz w:val="22"/>
          <w:szCs w:val="22"/>
        </w:rPr>
        <w:t xml:space="preserve"> (which may include, but </w:t>
      </w:r>
      <w:r w:rsidR="007C353D">
        <w:rPr>
          <w:rFonts w:asciiTheme="minorHAnsi" w:hAnsiTheme="minorHAnsi"/>
          <w:sz w:val="22"/>
          <w:szCs w:val="22"/>
        </w:rPr>
        <w:t>are</w:t>
      </w:r>
      <w:r w:rsidR="0021271B">
        <w:rPr>
          <w:rFonts w:asciiTheme="minorHAnsi" w:hAnsiTheme="minorHAnsi"/>
          <w:sz w:val="22"/>
          <w:szCs w:val="22"/>
        </w:rPr>
        <w:t xml:space="preserve"> not limited to, adjusting an investor’s unit holding to maintain PIE status). </w:t>
      </w:r>
    </w:p>
    <w:p w:rsidR="00CE5DE2" w:rsidRPr="000C7723" w:rsidRDefault="00CE5DE2" w:rsidP="00B77A13">
      <w:pPr>
        <w:pStyle w:val="Heading1"/>
      </w:pPr>
      <w:bookmarkStart w:id="31" w:name="_Toc34647179"/>
      <w:bookmarkStart w:id="32" w:name="_Toc34916728"/>
      <w:bookmarkEnd w:id="0"/>
      <w:r>
        <w:t>Market indices for the Funds</w:t>
      </w:r>
      <w:bookmarkEnd w:id="31"/>
      <w:bookmarkEnd w:id="32"/>
    </w:p>
    <w:p w:rsidR="00CF0344" w:rsidRDefault="00CF0344" w:rsidP="00CE5DE2">
      <w:pPr>
        <w:overflowPunct/>
        <w:contextualSpacing/>
        <w:textAlignment w:val="auto"/>
        <w:rPr>
          <w:rFonts w:asciiTheme="minorHAnsi" w:hAnsiTheme="minorHAnsi"/>
          <w:sz w:val="22"/>
          <w:szCs w:val="22"/>
        </w:rPr>
      </w:pPr>
      <w:r>
        <w:rPr>
          <w:rFonts w:asciiTheme="minorHAnsi" w:hAnsiTheme="minorHAnsi"/>
          <w:sz w:val="22"/>
          <w:szCs w:val="22"/>
        </w:rPr>
        <w:t xml:space="preserve">As the Funds have </w:t>
      </w:r>
      <w:r w:rsidR="00EB0341">
        <w:rPr>
          <w:rFonts w:asciiTheme="minorHAnsi" w:hAnsiTheme="minorHAnsi"/>
          <w:sz w:val="22"/>
          <w:szCs w:val="22"/>
        </w:rPr>
        <w:t>existed for less than</w:t>
      </w:r>
      <w:r>
        <w:rPr>
          <w:rFonts w:asciiTheme="minorHAnsi" w:hAnsiTheme="minorHAnsi"/>
          <w:sz w:val="22"/>
          <w:szCs w:val="22"/>
        </w:rPr>
        <w:t xml:space="preserve"> </w:t>
      </w:r>
      <w:r w:rsidR="00083FFE">
        <w:rPr>
          <w:rFonts w:asciiTheme="minorHAnsi" w:hAnsiTheme="minorHAnsi"/>
          <w:sz w:val="22"/>
          <w:szCs w:val="22"/>
        </w:rPr>
        <w:t>five</w:t>
      </w:r>
      <w:r>
        <w:rPr>
          <w:rFonts w:asciiTheme="minorHAnsi" w:hAnsiTheme="minorHAnsi"/>
          <w:sz w:val="22"/>
          <w:szCs w:val="22"/>
        </w:rPr>
        <w:t xml:space="preserve"> years, market index returns or other returns </w:t>
      </w:r>
      <w:r w:rsidR="00C044E3">
        <w:rPr>
          <w:rFonts w:asciiTheme="minorHAnsi" w:hAnsiTheme="minorHAnsi"/>
          <w:sz w:val="22"/>
          <w:szCs w:val="22"/>
        </w:rPr>
        <w:t xml:space="preserve">data </w:t>
      </w:r>
      <w:r>
        <w:rPr>
          <w:rFonts w:asciiTheme="minorHAnsi" w:hAnsiTheme="minorHAnsi"/>
          <w:sz w:val="22"/>
          <w:szCs w:val="22"/>
        </w:rPr>
        <w:t>need</w:t>
      </w:r>
      <w:r w:rsidR="00C044E3">
        <w:rPr>
          <w:rFonts w:asciiTheme="minorHAnsi" w:hAnsiTheme="minorHAnsi"/>
          <w:sz w:val="22"/>
          <w:szCs w:val="22"/>
        </w:rPr>
        <w:t>s</w:t>
      </w:r>
      <w:r>
        <w:rPr>
          <w:rFonts w:asciiTheme="minorHAnsi" w:hAnsiTheme="minorHAnsi"/>
          <w:sz w:val="22"/>
          <w:szCs w:val="22"/>
        </w:rPr>
        <w:t xml:space="preserve"> to be used to calculate the risk indicators of the Funds. </w:t>
      </w:r>
    </w:p>
    <w:p w:rsidR="00CF0344" w:rsidRDefault="00CF0344" w:rsidP="00CE5DE2">
      <w:pPr>
        <w:overflowPunct/>
        <w:contextualSpacing/>
        <w:textAlignment w:val="auto"/>
        <w:rPr>
          <w:rFonts w:asciiTheme="minorHAnsi" w:hAnsiTheme="minorHAnsi"/>
          <w:sz w:val="22"/>
          <w:szCs w:val="22"/>
        </w:rPr>
      </w:pPr>
    </w:p>
    <w:p w:rsidR="00CE5DE2" w:rsidRPr="00267428" w:rsidRDefault="00DD4080" w:rsidP="00CE5DE2">
      <w:pPr>
        <w:overflowPunct/>
        <w:contextualSpacing/>
        <w:textAlignment w:val="auto"/>
        <w:rPr>
          <w:rFonts w:asciiTheme="minorHAnsi" w:hAnsiTheme="minorHAnsi"/>
          <w:sz w:val="22"/>
          <w:szCs w:val="22"/>
        </w:rPr>
      </w:pPr>
      <w:r>
        <w:rPr>
          <w:rFonts w:asciiTheme="minorHAnsi" w:hAnsiTheme="minorHAnsi"/>
          <w:sz w:val="22"/>
          <w:szCs w:val="22"/>
        </w:rPr>
        <w:t xml:space="preserve">For all funds other than the Property Fund, </w:t>
      </w:r>
      <w:r w:rsidR="00CF0344">
        <w:rPr>
          <w:rFonts w:asciiTheme="minorHAnsi" w:hAnsiTheme="minorHAnsi"/>
          <w:sz w:val="22"/>
          <w:szCs w:val="22"/>
        </w:rPr>
        <w:t xml:space="preserve">the risk indicators are calculated </w:t>
      </w:r>
      <w:r w:rsidR="00C044E3">
        <w:rPr>
          <w:rFonts w:asciiTheme="minorHAnsi" w:hAnsiTheme="minorHAnsi"/>
          <w:sz w:val="22"/>
          <w:szCs w:val="22"/>
        </w:rPr>
        <w:t xml:space="preserve">based on, </w:t>
      </w:r>
      <w:r w:rsidR="00CF0344">
        <w:rPr>
          <w:rFonts w:asciiTheme="minorHAnsi" w:hAnsiTheme="minorHAnsi"/>
          <w:sz w:val="22"/>
          <w:szCs w:val="22"/>
        </w:rPr>
        <w:t>and the</w:t>
      </w:r>
      <w:r w:rsidR="00CE5DE2" w:rsidRPr="00267428">
        <w:rPr>
          <w:rFonts w:asciiTheme="minorHAnsi" w:hAnsiTheme="minorHAnsi"/>
          <w:sz w:val="22"/>
          <w:szCs w:val="22"/>
        </w:rPr>
        <w:t xml:space="preserve"> Fund’s returns are measured against</w:t>
      </w:r>
      <w:r w:rsidR="00C044E3">
        <w:rPr>
          <w:rFonts w:asciiTheme="minorHAnsi" w:hAnsiTheme="minorHAnsi"/>
          <w:sz w:val="22"/>
          <w:szCs w:val="22"/>
        </w:rPr>
        <w:t>,</w:t>
      </w:r>
      <w:r w:rsidR="00CE5DE2" w:rsidRPr="00267428">
        <w:rPr>
          <w:rFonts w:asciiTheme="minorHAnsi" w:hAnsiTheme="minorHAnsi"/>
          <w:sz w:val="22"/>
          <w:szCs w:val="22"/>
        </w:rPr>
        <w:t xml:space="preserve"> various market indices as set out in the SIPO. More information about these market indices can be found at the following webpages:</w:t>
      </w:r>
    </w:p>
    <w:p w:rsidR="00CE5DE2" w:rsidRPr="00267428" w:rsidRDefault="00CE5DE2" w:rsidP="00CE5DE2">
      <w:pPr>
        <w:overflowPunct/>
        <w:contextualSpacing/>
        <w:textAlignment w:val="auto"/>
        <w:rPr>
          <w:rFonts w:asciiTheme="minorHAnsi" w:hAnsiTheme="minorHAnsi"/>
          <w:sz w:val="22"/>
          <w:szCs w:val="22"/>
        </w:rPr>
      </w:pPr>
    </w:p>
    <w:p w:rsidR="00CE5DE2" w:rsidRPr="00267428" w:rsidRDefault="00CE5DE2" w:rsidP="00CE5DE2">
      <w:pPr>
        <w:numPr>
          <w:ilvl w:val="0"/>
          <w:numId w:val="28"/>
        </w:numPr>
        <w:overflowPunct/>
        <w:ind w:hanging="720"/>
        <w:contextualSpacing/>
        <w:textAlignment w:val="auto"/>
        <w:rPr>
          <w:rFonts w:asciiTheme="minorHAnsi" w:hAnsiTheme="minorHAnsi"/>
          <w:sz w:val="22"/>
          <w:szCs w:val="22"/>
        </w:rPr>
      </w:pPr>
      <w:r w:rsidRPr="00267428">
        <w:rPr>
          <w:rFonts w:asciiTheme="minorHAnsi" w:hAnsiTheme="minorHAnsi"/>
          <w:sz w:val="22"/>
          <w:szCs w:val="22"/>
        </w:rPr>
        <w:t xml:space="preserve">S&amp;P/NZX Indices: </w:t>
      </w:r>
      <w:hyperlink r:id="rId18" w:history="1">
        <w:r w:rsidRPr="00267428">
          <w:rPr>
            <w:rStyle w:val="Hyperlink"/>
            <w:rFonts w:asciiTheme="minorHAnsi" w:hAnsiTheme="minorHAnsi"/>
            <w:sz w:val="22"/>
            <w:szCs w:val="22"/>
          </w:rPr>
          <w:t>http://us.spindices.com/regional-exposure/asia-pacific/new-zealand</w:t>
        </w:r>
      </w:hyperlink>
    </w:p>
    <w:p w:rsidR="00CE5DE2" w:rsidRPr="00267428" w:rsidRDefault="00CE5DE2" w:rsidP="00CE5DE2">
      <w:pPr>
        <w:numPr>
          <w:ilvl w:val="0"/>
          <w:numId w:val="28"/>
        </w:numPr>
        <w:overflowPunct/>
        <w:ind w:hanging="720"/>
        <w:contextualSpacing/>
        <w:jc w:val="left"/>
        <w:textAlignment w:val="auto"/>
        <w:rPr>
          <w:rFonts w:asciiTheme="minorHAnsi" w:hAnsiTheme="minorHAnsi"/>
          <w:sz w:val="22"/>
          <w:szCs w:val="22"/>
        </w:rPr>
      </w:pPr>
      <w:r w:rsidRPr="00267428">
        <w:rPr>
          <w:rFonts w:asciiTheme="minorHAnsi" w:hAnsiTheme="minorHAnsi"/>
          <w:sz w:val="22"/>
          <w:szCs w:val="22"/>
        </w:rPr>
        <w:t xml:space="preserve">MSCI Indices: </w:t>
      </w:r>
      <w:hyperlink r:id="rId19" w:history="1">
        <w:r w:rsidRPr="00267428">
          <w:rPr>
            <w:rStyle w:val="Hyperlink"/>
            <w:rFonts w:asciiTheme="minorHAnsi" w:hAnsiTheme="minorHAnsi"/>
            <w:sz w:val="22"/>
            <w:szCs w:val="22"/>
          </w:rPr>
          <w:t>https://www.msci.com/indexes</w:t>
        </w:r>
      </w:hyperlink>
      <w:r w:rsidRPr="00267428">
        <w:rPr>
          <w:rFonts w:asciiTheme="minorHAnsi" w:hAnsiTheme="minorHAnsi"/>
          <w:sz w:val="22"/>
          <w:szCs w:val="22"/>
        </w:rPr>
        <w:t xml:space="preserve"> </w:t>
      </w:r>
    </w:p>
    <w:p w:rsidR="00CE5DE2" w:rsidRDefault="00BB2083" w:rsidP="00CE5DE2">
      <w:pPr>
        <w:numPr>
          <w:ilvl w:val="0"/>
          <w:numId w:val="28"/>
        </w:numPr>
        <w:overflowPunct/>
        <w:ind w:hanging="720"/>
        <w:contextualSpacing/>
        <w:jc w:val="left"/>
        <w:textAlignment w:val="auto"/>
        <w:rPr>
          <w:rFonts w:asciiTheme="minorHAnsi" w:hAnsiTheme="minorHAnsi"/>
          <w:sz w:val="22"/>
          <w:szCs w:val="22"/>
        </w:rPr>
      </w:pPr>
      <w:r>
        <w:rPr>
          <w:rFonts w:asciiTheme="minorHAnsi" w:hAnsiTheme="minorHAnsi"/>
          <w:sz w:val="22"/>
          <w:szCs w:val="22"/>
        </w:rPr>
        <w:t xml:space="preserve">FTSE Index: </w:t>
      </w:r>
      <w:hyperlink r:id="rId20" w:history="1">
        <w:r w:rsidRPr="00BE259D">
          <w:rPr>
            <w:rStyle w:val="Hyperlink"/>
            <w:rFonts w:asciiTheme="minorHAnsi" w:hAnsiTheme="minorHAnsi"/>
            <w:sz w:val="22"/>
            <w:szCs w:val="22"/>
          </w:rPr>
          <w:t>http://www.ftserussell.com/</w:t>
        </w:r>
      </w:hyperlink>
      <w:r>
        <w:rPr>
          <w:rFonts w:asciiTheme="minorHAnsi" w:hAnsiTheme="minorHAnsi"/>
          <w:sz w:val="22"/>
          <w:szCs w:val="22"/>
        </w:rPr>
        <w:t xml:space="preserve"> </w:t>
      </w:r>
    </w:p>
    <w:p w:rsidR="00DD4080" w:rsidRDefault="00DD4080" w:rsidP="00DD4080">
      <w:pPr>
        <w:overflowPunct/>
        <w:contextualSpacing/>
        <w:jc w:val="left"/>
        <w:textAlignment w:val="auto"/>
        <w:rPr>
          <w:rFonts w:asciiTheme="minorHAnsi" w:hAnsiTheme="minorHAnsi"/>
          <w:sz w:val="22"/>
          <w:szCs w:val="22"/>
        </w:rPr>
      </w:pPr>
    </w:p>
    <w:p w:rsidR="00DD4080" w:rsidRDefault="00DD4080" w:rsidP="00BE2454">
      <w:pPr>
        <w:overflowPunct/>
        <w:contextualSpacing/>
        <w:jc w:val="left"/>
        <w:textAlignment w:val="auto"/>
        <w:rPr>
          <w:rFonts w:asciiTheme="minorHAnsi" w:hAnsiTheme="minorHAnsi"/>
          <w:sz w:val="22"/>
          <w:szCs w:val="22"/>
        </w:rPr>
      </w:pPr>
      <w:r>
        <w:rPr>
          <w:rFonts w:asciiTheme="minorHAnsi" w:hAnsiTheme="minorHAnsi"/>
          <w:sz w:val="22"/>
          <w:szCs w:val="22"/>
        </w:rPr>
        <w:t>For the Property Fund, the Manager has determined that there is no appropriate market index</w:t>
      </w:r>
      <w:r w:rsidR="00BE2454">
        <w:rPr>
          <w:rFonts w:asciiTheme="minorHAnsi" w:hAnsiTheme="minorHAnsi"/>
          <w:sz w:val="22"/>
          <w:szCs w:val="22"/>
        </w:rPr>
        <w:t xml:space="preserve"> or </w:t>
      </w:r>
      <w:r w:rsidR="00BE2454" w:rsidRPr="00BE2454">
        <w:rPr>
          <w:rFonts w:asciiTheme="minorHAnsi" w:hAnsiTheme="minorHAnsi"/>
          <w:sz w:val="22"/>
          <w:szCs w:val="22"/>
        </w:rPr>
        <w:t xml:space="preserve">suitable peer group index </w:t>
      </w:r>
      <w:r>
        <w:rPr>
          <w:rFonts w:asciiTheme="minorHAnsi" w:hAnsiTheme="minorHAnsi"/>
          <w:sz w:val="22"/>
          <w:szCs w:val="22"/>
        </w:rPr>
        <w:t xml:space="preserve">for the Fund </w:t>
      </w:r>
      <w:r w:rsidR="00865D0B" w:rsidRPr="00865D0B">
        <w:rPr>
          <w:rFonts w:asciiTheme="minorHAnsi" w:hAnsiTheme="minorHAnsi"/>
          <w:sz w:val="22"/>
          <w:szCs w:val="22"/>
        </w:rPr>
        <w:t xml:space="preserve">that </w:t>
      </w:r>
      <w:r w:rsidR="00B10CC5">
        <w:rPr>
          <w:rFonts w:asciiTheme="minorHAnsi" w:hAnsiTheme="minorHAnsi"/>
          <w:sz w:val="22"/>
          <w:szCs w:val="22"/>
        </w:rPr>
        <w:t xml:space="preserve">reflects the assets of the Fund that </w:t>
      </w:r>
      <w:r w:rsidR="00865D0B" w:rsidRPr="00865D0B">
        <w:rPr>
          <w:rFonts w:asciiTheme="minorHAnsi" w:hAnsiTheme="minorHAnsi"/>
          <w:sz w:val="22"/>
          <w:szCs w:val="22"/>
        </w:rPr>
        <w:t xml:space="preserve">would be helpful to investors for assessing movements in the market in relation to the returns of the </w:t>
      </w:r>
      <w:r w:rsidR="00865D0B">
        <w:rPr>
          <w:rFonts w:asciiTheme="minorHAnsi" w:hAnsiTheme="minorHAnsi"/>
          <w:sz w:val="22"/>
          <w:szCs w:val="22"/>
        </w:rPr>
        <w:t xml:space="preserve">Fund.  </w:t>
      </w:r>
      <w:r w:rsidR="00CF0344">
        <w:rPr>
          <w:rFonts w:asciiTheme="minorHAnsi" w:hAnsiTheme="minorHAnsi"/>
          <w:sz w:val="22"/>
          <w:szCs w:val="22"/>
        </w:rPr>
        <w:t xml:space="preserve">Accordingly, </w:t>
      </w:r>
      <w:r w:rsidR="00865D0B">
        <w:rPr>
          <w:rFonts w:asciiTheme="minorHAnsi" w:hAnsiTheme="minorHAnsi"/>
          <w:sz w:val="22"/>
          <w:szCs w:val="22"/>
        </w:rPr>
        <w:t xml:space="preserve">the Manager </w:t>
      </w:r>
      <w:r>
        <w:rPr>
          <w:rFonts w:asciiTheme="minorHAnsi" w:hAnsiTheme="minorHAnsi"/>
          <w:sz w:val="22"/>
          <w:szCs w:val="22"/>
        </w:rPr>
        <w:t xml:space="preserve">is relying on the </w:t>
      </w:r>
      <w:r w:rsidR="00865D0B">
        <w:rPr>
          <w:rFonts w:asciiTheme="minorHAnsi" w:hAnsiTheme="minorHAnsi"/>
          <w:sz w:val="22"/>
          <w:szCs w:val="22"/>
        </w:rPr>
        <w:t xml:space="preserve">exemption in the </w:t>
      </w:r>
      <w:r w:rsidR="00BE2454" w:rsidRPr="00BE2454">
        <w:rPr>
          <w:rFonts w:asciiTheme="minorHAnsi" w:hAnsiTheme="minorHAnsi"/>
          <w:sz w:val="22"/>
          <w:szCs w:val="22"/>
        </w:rPr>
        <w:t>Financial Markets Conduct (Market Index) Exemption Notice 2018</w:t>
      </w:r>
      <w:r w:rsidR="00865D0B">
        <w:rPr>
          <w:rFonts w:asciiTheme="minorHAnsi" w:hAnsiTheme="minorHAnsi"/>
          <w:sz w:val="22"/>
          <w:szCs w:val="22"/>
        </w:rPr>
        <w:t xml:space="preserve"> in relation to the Property Fund</w:t>
      </w:r>
      <w:r w:rsidR="00865D0B" w:rsidRPr="00865D0B">
        <w:rPr>
          <w:rFonts w:asciiTheme="minorHAnsi" w:hAnsiTheme="minorHAnsi"/>
          <w:sz w:val="22"/>
          <w:szCs w:val="22"/>
        </w:rPr>
        <w:t>.</w:t>
      </w:r>
      <w:r w:rsidR="00BE2454">
        <w:rPr>
          <w:rFonts w:asciiTheme="minorHAnsi" w:hAnsiTheme="minorHAnsi"/>
          <w:sz w:val="22"/>
          <w:szCs w:val="22"/>
        </w:rPr>
        <w:t xml:space="preserve"> </w:t>
      </w:r>
    </w:p>
    <w:p w:rsidR="00C044E3" w:rsidRDefault="00C044E3" w:rsidP="00BE2454">
      <w:pPr>
        <w:overflowPunct/>
        <w:contextualSpacing/>
        <w:jc w:val="left"/>
        <w:textAlignment w:val="auto"/>
        <w:rPr>
          <w:rFonts w:asciiTheme="minorHAnsi" w:hAnsiTheme="minorHAnsi"/>
          <w:sz w:val="22"/>
          <w:szCs w:val="22"/>
        </w:rPr>
      </w:pPr>
    </w:p>
    <w:p w:rsidR="00CF0344" w:rsidRDefault="00C044E3" w:rsidP="00BE2454">
      <w:pPr>
        <w:overflowPunct/>
        <w:contextualSpacing/>
        <w:jc w:val="left"/>
        <w:textAlignment w:val="auto"/>
        <w:rPr>
          <w:rFonts w:asciiTheme="minorHAnsi" w:hAnsiTheme="minorHAnsi"/>
          <w:sz w:val="22"/>
          <w:szCs w:val="22"/>
        </w:rPr>
      </w:pPr>
      <w:r>
        <w:rPr>
          <w:rFonts w:asciiTheme="minorHAnsi" w:hAnsiTheme="minorHAnsi"/>
          <w:sz w:val="22"/>
          <w:szCs w:val="22"/>
        </w:rPr>
        <w:t xml:space="preserve">The Manager has calculated the risk indicator for the Property Fund using historical returns data for the Trust Investments – Property Fund </w:t>
      </w:r>
      <w:r>
        <w:rPr>
          <w:rFonts w:asciiTheme="minorHAnsi" w:hAnsiTheme="minorHAnsi"/>
          <w:i/>
          <w:sz w:val="22"/>
          <w:szCs w:val="22"/>
        </w:rPr>
        <w:t>(the Property GIF)</w:t>
      </w:r>
      <w:r>
        <w:rPr>
          <w:rFonts w:asciiTheme="minorHAnsi" w:hAnsiTheme="minorHAnsi"/>
          <w:sz w:val="22"/>
          <w:szCs w:val="22"/>
        </w:rPr>
        <w:t>, which was</w:t>
      </w:r>
      <w:r w:rsidR="00E96D01">
        <w:rPr>
          <w:rFonts w:asciiTheme="minorHAnsi" w:hAnsiTheme="minorHAnsi"/>
          <w:sz w:val="22"/>
          <w:szCs w:val="22"/>
        </w:rPr>
        <w:t xml:space="preserve"> formerly</w:t>
      </w:r>
      <w:r>
        <w:rPr>
          <w:rFonts w:asciiTheme="minorHAnsi" w:hAnsiTheme="minorHAnsi"/>
          <w:sz w:val="22"/>
          <w:szCs w:val="22"/>
        </w:rPr>
        <w:t xml:space="preserve"> offered under the Trust Investments – Group Investment Funds scheme.  </w:t>
      </w:r>
      <w:r w:rsidR="00C84D67">
        <w:rPr>
          <w:rFonts w:asciiTheme="minorHAnsi" w:hAnsiTheme="minorHAnsi"/>
          <w:sz w:val="22"/>
          <w:szCs w:val="22"/>
        </w:rPr>
        <w:t xml:space="preserve">On its inception, the Property Fund acquired all </w:t>
      </w:r>
      <w:r w:rsidR="004D76C8">
        <w:rPr>
          <w:rFonts w:asciiTheme="minorHAnsi" w:hAnsiTheme="minorHAnsi"/>
          <w:sz w:val="22"/>
          <w:szCs w:val="22"/>
        </w:rPr>
        <w:t xml:space="preserve">of </w:t>
      </w:r>
      <w:r w:rsidR="00C84D67">
        <w:rPr>
          <w:rFonts w:asciiTheme="minorHAnsi" w:hAnsiTheme="minorHAnsi"/>
          <w:sz w:val="22"/>
          <w:szCs w:val="22"/>
        </w:rPr>
        <w:t xml:space="preserve">the assets of the Property GIF.  Therefore, </w:t>
      </w:r>
      <w:r w:rsidR="009454AB">
        <w:rPr>
          <w:rFonts w:asciiTheme="minorHAnsi" w:hAnsiTheme="minorHAnsi"/>
          <w:sz w:val="22"/>
          <w:szCs w:val="22"/>
        </w:rPr>
        <w:t xml:space="preserve">the Manager believes that the historical </w:t>
      </w:r>
      <w:r w:rsidR="00E96D01">
        <w:rPr>
          <w:rFonts w:asciiTheme="minorHAnsi" w:hAnsiTheme="minorHAnsi"/>
          <w:sz w:val="22"/>
          <w:szCs w:val="22"/>
        </w:rPr>
        <w:t xml:space="preserve">returns </w:t>
      </w:r>
      <w:r w:rsidR="009454AB">
        <w:rPr>
          <w:rFonts w:asciiTheme="minorHAnsi" w:hAnsiTheme="minorHAnsi"/>
          <w:sz w:val="22"/>
          <w:szCs w:val="22"/>
        </w:rPr>
        <w:t xml:space="preserve">data for the Property GIF is the most helpful for </w:t>
      </w:r>
      <w:r w:rsidR="00E64778">
        <w:rPr>
          <w:rFonts w:asciiTheme="minorHAnsi" w:hAnsiTheme="minorHAnsi"/>
          <w:sz w:val="22"/>
          <w:szCs w:val="22"/>
        </w:rPr>
        <w:t>investors</w:t>
      </w:r>
      <w:r w:rsidR="009454AB">
        <w:rPr>
          <w:rFonts w:asciiTheme="minorHAnsi" w:hAnsiTheme="minorHAnsi"/>
          <w:sz w:val="22"/>
          <w:szCs w:val="22"/>
        </w:rPr>
        <w:t xml:space="preserve"> in assessing the Property Fund.  </w:t>
      </w:r>
      <w:r w:rsidR="00441059">
        <w:rPr>
          <w:rFonts w:asciiTheme="minorHAnsi" w:hAnsiTheme="minorHAnsi"/>
          <w:sz w:val="22"/>
          <w:szCs w:val="22"/>
        </w:rPr>
        <w:t xml:space="preserve"> As actual returns data becomes available for the Property Fund, the Manager will use a composite of </w:t>
      </w:r>
      <w:r w:rsidR="00E96D01">
        <w:rPr>
          <w:rFonts w:asciiTheme="minorHAnsi" w:hAnsiTheme="minorHAnsi"/>
          <w:sz w:val="22"/>
          <w:szCs w:val="22"/>
        </w:rPr>
        <w:t>the actual returns</w:t>
      </w:r>
      <w:r w:rsidR="00441059">
        <w:rPr>
          <w:rFonts w:asciiTheme="minorHAnsi" w:hAnsiTheme="minorHAnsi"/>
          <w:sz w:val="22"/>
          <w:szCs w:val="22"/>
        </w:rPr>
        <w:t xml:space="preserve"> data and the Property GIF data for the </w:t>
      </w:r>
      <w:r w:rsidR="006B7BC0">
        <w:rPr>
          <w:rFonts w:asciiTheme="minorHAnsi" w:hAnsiTheme="minorHAnsi"/>
          <w:sz w:val="22"/>
          <w:szCs w:val="22"/>
        </w:rPr>
        <w:t xml:space="preserve">risk indicator </w:t>
      </w:r>
      <w:r w:rsidR="00441059">
        <w:rPr>
          <w:rFonts w:asciiTheme="minorHAnsi" w:hAnsiTheme="minorHAnsi"/>
          <w:sz w:val="22"/>
          <w:szCs w:val="22"/>
        </w:rPr>
        <w:t xml:space="preserve">calculation.  </w:t>
      </w:r>
      <w:r w:rsidR="007C2F7D">
        <w:rPr>
          <w:rFonts w:asciiTheme="minorHAnsi" w:hAnsiTheme="minorHAnsi"/>
          <w:sz w:val="22"/>
          <w:szCs w:val="22"/>
        </w:rPr>
        <w:t>This is the methodology</w:t>
      </w:r>
      <w:r w:rsidR="007C2F7D" w:rsidRPr="007C2F7D">
        <w:rPr>
          <w:rFonts w:asciiTheme="minorHAnsi" w:hAnsiTheme="minorHAnsi"/>
          <w:sz w:val="22"/>
          <w:szCs w:val="22"/>
        </w:rPr>
        <w:t xml:space="preserve"> that the </w:t>
      </w:r>
      <w:r w:rsidR="007C2F7D">
        <w:rPr>
          <w:rFonts w:asciiTheme="minorHAnsi" w:hAnsiTheme="minorHAnsi"/>
          <w:sz w:val="22"/>
          <w:szCs w:val="22"/>
        </w:rPr>
        <w:t>M</w:t>
      </w:r>
      <w:r w:rsidR="007C2F7D" w:rsidRPr="007C2F7D">
        <w:rPr>
          <w:rFonts w:asciiTheme="minorHAnsi" w:hAnsiTheme="minorHAnsi"/>
          <w:sz w:val="22"/>
          <w:szCs w:val="22"/>
        </w:rPr>
        <w:t xml:space="preserve">anager reasonably considers will allow the </w:t>
      </w:r>
      <w:r w:rsidR="005725E7">
        <w:rPr>
          <w:rFonts w:asciiTheme="minorHAnsi" w:hAnsiTheme="minorHAnsi"/>
          <w:sz w:val="22"/>
          <w:szCs w:val="22"/>
        </w:rPr>
        <w:t xml:space="preserve">Property Fund’s </w:t>
      </w:r>
      <w:r w:rsidR="007C2F7D" w:rsidRPr="007C2F7D">
        <w:rPr>
          <w:rFonts w:asciiTheme="minorHAnsi" w:hAnsiTheme="minorHAnsi"/>
          <w:sz w:val="22"/>
          <w:szCs w:val="22"/>
        </w:rPr>
        <w:t xml:space="preserve">risk indicator to reflect the potential future volatility of the </w:t>
      </w:r>
      <w:r w:rsidR="007C2F7D">
        <w:rPr>
          <w:rFonts w:asciiTheme="minorHAnsi" w:hAnsiTheme="minorHAnsi"/>
          <w:sz w:val="22"/>
          <w:szCs w:val="22"/>
        </w:rPr>
        <w:t>Property F</w:t>
      </w:r>
      <w:r w:rsidR="007C2F7D" w:rsidRPr="007C2F7D">
        <w:rPr>
          <w:rFonts w:asciiTheme="minorHAnsi" w:hAnsiTheme="minorHAnsi"/>
          <w:sz w:val="22"/>
          <w:szCs w:val="22"/>
        </w:rPr>
        <w:t>und</w:t>
      </w:r>
      <w:r w:rsidR="007C2F7D">
        <w:rPr>
          <w:rFonts w:asciiTheme="minorHAnsi" w:hAnsiTheme="minorHAnsi"/>
          <w:sz w:val="22"/>
          <w:szCs w:val="22"/>
        </w:rPr>
        <w:t>.</w:t>
      </w:r>
    </w:p>
    <w:p w:rsidR="00CF0344" w:rsidRPr="00267428" w:rsidRDefault="00CF0344" w:rsidP="00BE2454">
      <w:pPr>
        <w:overflowPunct/>
        <w:contextualSpacing/>
        <w:jc w:val="left"/>
        <w:textAlignment w:val="auto"/>
        <w:rPr>
          <w:rFonts w:asciiTheme="minorHAnsi" w:hAnsiTheme="minorHAnsi"/>
          <w:sz w:val="22"/>
          <w:szCs w:val="22"/>
        </w:rPr>
      </w:pPr>
    </w:p>
    <w:p w:rsidR="005D607B" w:rsidRDefault="005D607B" w:rsidP="005D607B">
      <w:bookmarkStart w:id="33" w:name="_Toc34916729"/>
      <w:bookmarkStart w:id="34" w:name="_Toc34647180"/>
      <w:r>
        <w:br w:type="page"/>
      </w:r>
    </w:p>
    <w:p w:rsidR="004E05D8" w:rsidRPr="00FA3592" w:rsidRDefault="00A2731D" w:rsidP="00012AE1">
      <w:pPr>
        <w:pStyle w:val="Heading1"/>
      </w:pPr>
      <w:r>
        <w:rPr>
          <w:sz w:val="22"/>
          <w:szCs w:val="22"/>
        </w:rPr>
        <w:pict w14:anchorId="27ECF2DA">
          <v:shape id="_x0000_s1029" style="position:absolute;left:0;text-align:left;margin-left:-29.65pt;margin-top:-52.5pt;width:559.5pt;height:804.6pt;rotation:180;flip:x;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r w:rsidR="004E05D8" w:rsidRPr="00FA3592">
        <w:t>Material Contracts</w:t>
      </w:r>
      <w:bookmarkEnd w:id="33"/>
      <w:r w:rsidR="006D42FA" w:rsidRPr="00FA3592">
        <w:t xml:space="preserve"> </w:t>
      </w:r>
      <w:bookmarkEnd w:id="34"/>
    </w:p>
    <w:p w:rsidR="00D56F39" w:rsidRPr="00FA3592" w:rsidRDefault="004E05D8" w:rsidP="004E05D8">
      <w:pPr>
        <w:overflowPunct/>
        <w:contextualSpacing/>
        <w:textAlignment w:val="auto"/>
        <w:rPr>
          <w:rFonts w:asciiTheme="minorHAnsi" w:hAnsiTheme="minorHAnsi"/>
          <w:sz w:val="22"/>
          <w:szCs w:val="22"/>
        </w:rPr>
      </w:pPr>
      <w:r w:rsidRPr="00FA3592">
        <w:rPr>
          <w:rFonts w:asciiTheme="minorHAnsi" w:hAnsiTheme="minorHAnsi"/>
          <w:sz w:val="22"/>
          <w:szCs w:val="22"/>
        </w:rPr>
        <w:t xml:space="preserve">To </w:t>
      </w:r>
      <w:r w:rsidR="006D2851" w:rsidRPr="00FA3592">
        <w:rPr>
          <w:rFonts w:asciiTheme="minorHAnsi" w:hAnsiTheme="minorHAnsi"/>
          <w:sz w:val="22"/>
          <w:szCs w:val="22"/>
        </w:rPr>
        <w:t>assist in managing the liquidity requirements of the Property Fund</w:t>
      </w:r>
      <w:r w:rsidR="009661D7">
        <w:rPr>
          <w:rFonts w:asciiTheme="minorHAnsi" w:hAnsiTheme="minorHAnsi"/>
          <w:sz w:val="22"/>
          <w:szCs w:val="22"/>
        </w:rPr>
        <w:t xml:space="preserve">, the Fund </w:t>
      </w:r>
      <w:r w:rsidR="00587DC9">
        <w:rPr>
          <w:rFonts w:asciiTheme="minorHAnsi" w:hAnsiTheme="minorHAnsi"/>
          <w:sz w:val="22"/>
          <w:szCs w:val="22"/>
        </w:rPr>
        <w:t>is entering</w:t>
      </w:r>
      <w:r w:rsidR="009661D7">
        <w:rPr>
          <w:rFonts w:asciiTheme="minorHAnsi" w:hAnsiTheme="minorHAnsi"/>
          <w:sz w:val="22"/>
          <w:szCs w:val="22"/>
        </w:rPr>
        <w:t xml:space="preserve"> into a put option arrangement with </w:t>
      </w:r>
      <w:r w:rsidR="009661D7" w:rsidRPr="00FA3592">
        <w:rPr>
          <w:rFonts w:asciiTheme="minorHAnsi" w:hAnsiTheme="minorHAnsi"/>
          <w:sz w:val="22"/>
          <w:szCs w:val="22"/>
        </w:rPr>
        <w:t>R</w:t>
      </w:r>
      <w:r w:rsidR="009661D7" w:rsidRPr="00FA3592">
        <w:rPr>
          <w:rFonts w:asciiTheme="minorHAnsi" w:hAnsiTheme="minorHAnsi" w:cstheme="minorHAnsi"/>
          <w:sz w:val="22"/>
          <w:szCs w:val="22"/>
        </w:rPr>
        <w:t>ā</w:t>
      </w:r>
      <w:r w:rsidR="009661D7" w:rsidRPr="00FA3592">
        <w:rPr>
          <w:rFonts w:asciiTheme="minorHAnsi" w:hAnsiTheme="minorHAnsi"/>
          <w:sz w:val="22"/>
          <w:szCs w:val="22"/>
        </w:rPr>
        <w:t>t</w:t>
      </w:r>
      <w:r w:rsidR="009661D7" w:rsidRPr="00FA3592">
        <w:rPr>
          <w:rFonts w:asciiTheme="minorHAnsi" w:hAnsiTheme="minorHAnsi" w:cstheme="minorHAnsi"/>
          <w:sz w:val="22"/>
          <w:szCs w:val="22"/>
        </w:rPr>
        <w:t xml:space="preserve">ā Foundation Limited </w:t>
      </w:r>
      <w:r w:rsidR="009661D7" w:rsidRPr="00FA3592">
        <w:rPr>
          <w:rFonts w:asciiTheme="minorHAnsi" w:hAnsiTheme="minorHAnsi"/>
          <w:sz w:val="22"/>
          <w:szCs w:val="22"/>
        </w:rPr>
        <w:t>(“</w:t>
      </w:r>
      <w:r w:rsidR="009661D7" w:rsidRPr="00FA3592">
        <w:rPr>
          <w:rFonts w:asciiTheme="minorHAnsi" w:hAnsiTheme="minorHAnsi"/>
          <w:b/>
          <w:sz w:val="22"/>
          <w:szCs w:val="22"/>
        </w:rPr>
        <w:t>R</w:t>
      </w:r>
      <w:r w:rsidR="009661D7" w:rsidRPr="00FA3592">
        <w:rPr>
          <w:rFonts w:asciiTheme="minorHAnsi" w:hAnsiTheme="minorHAnsi" w:cstheme="minorHAnsi"/>
          <w:b/>
          <w:sz w:val="22"/>
          <w:szCs w:val="22"/>
        </w:rPr>
        <w:t>ā</w:t>
      </w:r>
      <w:r w:rsidR="009661D7" w:rsidRPr="00FA3592">
        <w:rPr>
          <w:rFonts w:asciiTheme="minorHAnsi" w:hAnsiTheme="minorHAnsi"/>
          <w:b/>
          <w:sz w:val="22"/>
          <w:szCs w:val="22"/>
        </w:rPr>
        <w:t>t</w:t>
      </w:r>
      <w:r w:rsidR="009661D7" w:rsidRPr="00FA3592">
        <w:rPr>
          <w:rFonts w:asciiTheme="minorHAnsi" w:hAnsiTheme="minorHAnsi" w:cstheme="minorHAnsi"/>
          <w:b/>
          <w:sz w:val="22"/>
          <w:szCs w:val="22"/>
        </w:rPr>
        <w:t>ā</w:t>
      </w:r>
      <w:r w:rsidR="009661D7" w:rsidRPr="00FA3592">
        <w:rPr>
          <w:rFonts w:asciiTheme="minorHAnsi" w:hAnsiTheme="minorHAnsi" w:cstheme="minorHAnsi"/>
          <w:sz w:val="22"/>
          <w:szCs w:val="22"/>
        </w:rPr>
        <w:t>”)</w:t>
      </w:r>
      <w:r w:rsidR="009661D7" w:rsidRPr="00FA3592">
        <w:rPr>
          <w:rFonts w:asciiTheme="minorHAnsi" w:hAnsiTheme="minorHAnsi"/>
          <w:sz w:val="22"/>
          <w:szCs w:val="22"/>
        </w:rPr>
        <w:t>.</w:t>
      </w:r>
      <w:r w:rsidR="009661D7">
        <w:rPr>
          <w:rFonts w:asciiTheme="minorHAnsi" w:hAnsiTheme="minorHAnsi"/>
          <w:sz w:val="22"/>
          <w:szCs w:val="22"/>
        </w:rPr>
        <w:t xml:space="preserve">  This relates to </w:t>
      </w:r>
      <w:r w:rsidR="00446F9D" w:rsidRPr="00FA3592">
        <w:rPr>
          <w:rFonts w:asciiTheme="minorHAnsi" w:hAnsiTheme="minorHAnsi"/>
          <w:sz w:val="22"/>
          <w:szCs w:val="22"/>
        </w:rPr>
        <w:t xml:space="preserve">unit </w:t>
      </w:r>
      <w:r w:rsidRPr="00FA3592">
        <w:rPr>
          <w:rFonts w:asciiTheme="minorHAnsi" w:hAnsiTheme="minorHAnsi"/>
          <w:sz w:val="22"/>
          <w:szCs w:val="22"/>
        </w:rPr>
        <w:t xml:space="preserve">redemption </w:t>
      </w:r>
      <w:r w:rsidR="001C6E5B" w:rsidRPr="00FA3592">
        <w:rPr>
          <w:rFonts w:asciiTheme="minorHAnsi" w:hAnsiTheme="minorHAnsi"/>
          <w:sz w:val="22"/>
          <w:szCs w:val="22"/>
        </w:rPr>
        <w:t>and/</w:t>
      </w:r>
      <w:r w:rsidR="00BE47F4" w:rsidRPr="00FA3592">
        <w:rPr>
          <w:rFonts w:asciiTheme="minorHAnsi" w:hAnsiTheme="minorHAnsi"/>
          <w:sz w:val="22"/>
          <w:szCs w:val="22"/>
        </w:rPr>
        <w:t xml:space="preserve">or transfer requests </w:t>
      </w:r>
      <w:r w:rsidR="00446F9D" w:rsidRPr="00FA3592">
        <w:rPr>
          <w:rFonts w:asciiTheme="minorHAnsi" w:hAnsiTheme="minorHAnsi"/>
          <w:sz w:val="22"/>
          <w:szCs w:val="22"/>
        </w:rPr>
        <w:t>received</w:t>
      </w:r>
      <w:r w:rsidR="00D56F39" w:rsidRPr="00FA3592">
        <w:rPr>
          <w:rFonts w:asciiTheme="minorHAnsi" w:hAnsiTheme="minorHAnsi"/>
          <w:sz w:val="22"/>
          <w:szCs w:val="22"/>
        </w:rPr>
        <w:t xml:space="preserve"> </w:t>
      </w:r>
      <w:r w:rsidR="00357070" w:rsidRPr="00FA3592">
        <w:rPr>
          <w:rFonts w:asciiTheme="minorHAnsi" w:hAnsiTheme="minorHAnsi"/>
          <w:sz w:val="22"/>
          <w:szCs w:val="22"/>
        </w:rPr>
        <w:t xml:space="preserve">in respect of the Fund </w:t>
      </w:r>
      <w:r w:rsidRPr="00FA3592">
        <w:rPr>
          <w:rFonts w:asciiTheme="minorHAnsi" w:hAnsiTheme="minorHAnsi"/>
          <w:sz w:val="22"/>
          <w:szCs w:val="22"/>
        </w:rPr>
        <w:t xml:space="preserve">from </w:t>
      </w:r>
      <w:r w:rsidR="00E41A0F" w:rsidRPr="00FA3592">
        <w:rPr>
          <w:rFonts w:asciiTheme="minorHAnsi" w:hAnsiTheme="minorHAnsi"/>
          <w:sz w:val="22"/>
          <w:szCs w:val="22"/>
        </w:rPr>
        <w:t>R</w:t>
      </w:r>
      <w:r w:rsidR="00E41A0F" w:rsidRPr="00FA3592">
        <w:rPr>
          <w:rFonts w:asciiTheme="minorHAnsi" w:hAnsiTheme="minorHAnsi" w:cstheme="minorHAnsi"/>
          <w:sz w:val="22"/>
          <w:szCs w:val="22"/>
        </w:rPr>
        <w:t>ā</w:t>
      </w:r>
      <w:r w:rsidR="00E41A0F" w:rsidRPr="00FA3592">
        <w:rPr>
          <w:rFonts w:asciiTheme="minorHAnsi" w:hAnsiTheme="minorHAnsi"/>
          <w:sz w:val="22"/>
          <w:szCs w:val="22"/>
        </w:rPr>
        <w:t>t</w:t>
      </w:r>
      <w:r w:rsidR="00E41A0F" w:rsidRPr="00FA3592">
        <w:rPr>
          <w:rFonts w:asciiTheme="minorHAnsi" w:hAnsiTheme="minorHAnsi" w:cstheme="minorHAnsi"/>
          <w:sz w:val="22"/>
          <w:szCs w:val="22"/>
        </w:rPr>
        <w:t>ā</w:t>
      </w:r>
      <w:r w:rsidR="00E41A0F" w:rsidRPr="00FA3592">
        <w:rPr>
          <w:rFonts w:asciiTheme="minorHAnsi" w:hAnsiTheme="minorHAnsi"/>
          <w:sz w:val="22"/>
          <w:szCs w:val="22"/>
        </w:rPr>
        <w:t xml:space="preserve"> and its related parties</w:t>
      </w:r>
      <w:r w:rsidR="009661D7">
        <w:rPr>
          <w:rFonts w:asciiTheme="minorHAnsi" w:hAnsiTheme="minorHAnsi"/>
          <w:sz w:val="22"/>
          <w:szCs w:val="22"/>
        </w:rPr>
        <w:t xml:space="preserve">.  A related company of </w:t>
      </w:r>
      <w:r w:rsidR="009661D7" w:rsidRPr="00FA3592">
        <w:rPr>
          <w:rFonts w:asciiTheme="minorHAnsi" w:hAnsiTheme="minorHAnsi"/>
          <w:sz w:val="22"/>
          <w:szCs w:val="22"/>
        </w:rPr>
        <w:t>R</w:t>
      </w:r>
      <w:r w:rsidR="009661D7" w:rsidRPr="00FA3592">
        <w:rPr>
          <w:rFonts w:asciiTheme="minorHAnsi" w:hAnsiTheme="minorHAnsi" w:cstheme="minorHAnsi"/>
          <w:sz w:val="22"/>
          <w:szCs w:val="22"/>
        </w:rPr>
        <w:t>ā</w:t>
      </w:r>
      <w:r w:rsidR="009661D7" w:rsidRPr="00FA3592">
        <w:rPr>
          <w:rFonts w:asciiTheme="minorHAnsi" w:hAnsiTheme="minorHAnsi"/>
          <w:sz w:val="22"/>
          <w:szCs w:val="22"/>
        </w:rPr>
        <w:t>t</w:t>
      </w:r>
      <w:r w:rsidR="009661D7" w:rsidRPr="00FA3592">
        <w:rPr>
          <w:rFonts w:asciiTheme="minorHAnsi" w:hAnsiTheme="minorHAnsi" w:cstheme="minorHAnsi"/>
          <w:sz w:val="22"/>
          <w:szCs w:val="22"/>
        </w:rPr>
        <w:t>ā</w:t>
      </w:r>
      <w:r w:rsidR="0046464A">
        <w:rPr>
          <w:rFonts w:asciiTheme="minorHAnsi" w:hAnsiTheme="minorHAnsi" w:cstheme="minorHAnsi"/>
          <w:sz w:val="22"/>
          <w:szCs w:val="22"/>
        </w:rPr>
        <w:t>, Canterbury Trust House Limited,</w:t>
      </w:r>
      <w:r w:rsidR="009661D7">
        <w:rPr>
          <w:rFonts w:asciiTheme="minorHAnsi" w:hAnsiTheme="minorHAnsi" w:cstheme="minorHAnsi"/>
          <w:sz w:val="22"/>
          <w:szCs w:val="22"/>
        </w:rPr>
        <w:t xml:space="preserve"> is the previous owner of the properties at </w:t>
      </w:r>
      <w:r w:rsidR="009661D7" w:rsidRPr="00FA3592">
        <w:rPr>
          <w:rFonts w:asciiTheme="minorHAnsi" w:hAnsiTheme="minorHAnsi"/>
          <w:sz w:val="22"/>
          <w:szCs w:val="22"/>
        </w:rPr>
        <w:t>55 Shands Road, Hornby, Christchurch; 2 Waterman Place, Ferrymead, Christchurch and 126-128 Montreal Street, Christchurch</w:t>
      </w:r>
      <w:r w:rsidR="002553E9">
        <w:rPr>
          <w:rFonts w:asciiTheme="minorHAnsi" w:hAnsiTheme="minorHAnsi"/>
          <w:sz w:val="22"/>
          <w:szCs w:val="22"/>
        </w:rPr>
        <w:t xml:space="preserve">.  These properties </w:t>
      </w:r>
      <w:r w:rsidR="009661D7">
        <w:rPr>
          <w:rFonts w:asciiTheme="minorHAnsi" w:hAnsiTheme="minorHAnsi"/>
          <w:sz w:val="22"/>
          <w:szCs w:val="22"/>
        </w:rPr>
        <w:t>were originally</w:t>
      </w:r>
      <w:r w:rsidR="0046464A">
        <w:rPr>
          <w:rFonts w:asciiTheme="minorHAnsi" w:hAnsiTheme="minorHAnsi"/>
          <w:sz w:val="22"/>
          <w:szCs w:val="22"/>
        </w:rPr>
        <w:t xml:space="preserve"> purchased </w:t>
      </w:r>
      <w:r w:rsidR="002553E9">
        <w:rPr>
          <w:rFonts w:asciiTheme="minorHAnsi" w:hAnsiTheme="minorHAnsi"/>
          <w:sz w:val="22"/>
          <w:szCs w:val="22"/>
        </w:rPr>
        <w:t xml:space="preserve">from Canterbury Trust House Limited </w:t>
      </w:r>
      <w:r w:rsidR="0046464A">
        <w:rPr>
          <w:rFonts w:asciiTheme="minorHAnsi" w:hAnsiTheme="minorHAnsi"/>
          <w:sz w:val="22"/>
          <w:szCs w:val="22"/>
        </w:rPr>
        <w:t>by</w:t>
      </w:r>
      <w:r w:rsidR="009661D7">
        <w:rPr>
          <w:rFonts w:asciiTheme="minorHAnsi" w:hAnsiTheme="minorHAnsi"/>
          <w:sz w:val="22"/>
          <w:szCs w:val="22"/>
        </w:rPr>
        <w:t xml:space="preserve"> the Trust Investments Property Fund Group Investment Fund, and are now owned by the Fund.  </w:t>
      </w:r>
      <w:r w:rsidR="0046464A" w:rsidRPr="00FA3592">
        <w:rPr>
          <w:rFonts w:asciiTheme="minorHAnsi" w:hAnsiTheme="minorHAnsi"/>
          <w:sz w:val="22"/>
          <w:szCs w:val="22"/>
        </w:rPr>
        <w:t>Each of Ca</w:t>
      </w:r>
      <w:r w:rsidR="004D76EA">
        <w:rPr>
          <w:rFonts w:asciiTheme="minorHAnsi" w:hAnsiTheme="minorHAnsi"/>
          <w:sz w:val="22"/>
          <w:szCs w:val="22"/>
        </w:rPr>
        <w:t>n</w:t>
      </w:r>
      <w:r w:rsidR="0046464A" w:rsidRPr="00FA3592">
        <w:rPr>
          <w:rFonts w:asciiTheme="minorHAnsi" w:hAnsiTheme="minorHAnsi"/>
          <w:sz w:val="22"/>
          <w:szCs w:val="22"/>
        </w:rPr>
        <w:t>terbury Trust House Limited and R</w:t>
      </w:r>
      <w:r w:rsidR="0046464A" w:rsidRPr="00FA3592">
        <w:rPr>
          <w:rFonts w:asciiTheme="minorHAnsi" w:hAnsiTheme="minorHAnsi" w:cstheme="minorHAnsi"/>
          <w:sz w:val="22"/>
          <w:szCs w:val="22"/>
        </w:rPr>
        <w:t>ā</w:t>
      </w:r>
      <w:r w:rsidR="0046464A" w:rsidRPr="00FA3592">
        <w:rPr>
          <w:rFonts w:asciiTheme="minorHAnsi" w:hAnsiTheme="minorHAnsi"/>
          <w:sz w:val="22"/>
          <w:szCs w:val="22"/>
        </w:rPr>
        <w:t>t</w:t>
      </w:r>
      <w:r w:rsidR="0046464A" w:rsidRPr="00FA3592">
        <w:rPr>
          <w:rFonts w:asciiTheme="minorHAnsi" w:hAnsiTheme="minorHAnsi" w:cstheme="minorHAnsi"/>
          <w:sz w:val="22"/>
          <w:szCs w:val="22"/>
        </w:rPr>
        <w:t xml:space="preserve">ā are controlled by the </w:t>
      </w:r>
      <w:r w:rsidR="0046464A" w:rsidRPr="00FA3592">
        <w:rPr>
          <w:rFonts w:asciiTheme="minorHAnsi" w:hAnsiTheme="minorHAnsi"/>
          <w:sz w:val="22"/>
          <w:szCs w:val="22"/>
        </w:rPr>
        <w:t>R</w:t>
      </w:r>
      <w:r w:rsidR="0046464A" w:rsidRPr="00FA3592">
        <w:rPr>
          <w:rFonts w:asciiTheme="minorHAnsi" w:hAnsiTheme="minorHAnsi" w:cstheme="minorHAnsi"/>
          <w:sz w:val="22"/>
          <w:szCs w:val="22"/>
        </w:rPr>
        <w:t>ā</w:t>
      </w:r>
      <w:r w:rsidR="0046464A" w:rsidRPr="00FA3592">
        <w:rPr>
          <w:rFonts w:asciiTheme="minorHAnsi" w:hAnsiTheme="minorHAnsi"/>
          <w:sz w:val="22"/>
          <w:szCs w:val="22"/>
        </w:rPr>
        <w:t>t</w:t>
      </w:r>
      <w:r w:rsidR="0046464A" w:rsidRPr="00FA3592">
        <w:rPr>
          <w:rFonts w:asciiTheme="minorHAnsi" w:hAnsiTheme="minorHAnsi" w:cstheme="minorHAnsi"/>
          <w:sz w:val="22"/>
          <w:szCs w:val="22"/>
        </w:rPr>
        <w:t>ā Foundation.</w:t>
      </w:r>
      <w:r w:rsidR="0046464A">
        <w:rPr>
          <w:rFonts w:asciiTheme="minorHAnsi" w:hAnsiTheme="minorHAnsi" w:cstheme="minorHAnsi"/>
          <w:sz w:val="22"/>
          <w:szCs w:val="22"/>
        </w:rPr>
        <w:t xml:space="preserve">  </w:t>
      </w:r>
      <w:r w:rsidR="009661D7">
        <w:rPr>
          <w:rFonts w:asciiTheme="minorHAnsi" w:hAnsiTheme="minorHAnsi"/>
          <w:sz w:val="22"/>
          <w:szCs w:val="22"/>
        </w:rPr>
        <w:t>T</w:t>
      </w:r>
      <w:r w:rsidR="00E41A0F" w:rsidRPr="00FA3592">
        <w:rPr>
          <w:rFonts w:asciiTheme="minorHAnsi" w:hAnsiTheme="minorHAnsi"/>
          <w:sz w:val="22"/>
          <w:szCs w:val="22"/>
        </w:rPr>
        <w:t xml:space="preserve">he key terms of </w:t>
      </w:r>
      <w:r w:rsidR="009661D7">
        <w:rPr>
          <w:rFonts w:asciiTheme="minorHAnsi" w:hAnsiTheme="minorHAnsi"/>
          <w:sz w:val="22"/>
          <w:szCs w:val="22"/>
        </w:rPr>
        <w:t xml:space="preserve">the put option </w:t>
      </w:r>
      <w:r w:rsidR="00E41A0F" w:rsidRPr="00FA3592">
        <w:rPr>
          <w:rFonts w:asciiTheme="minorHAnsi" w:hAnsiTheme="minorHAnsi"/>
          <w:sz w:val="22"/>
          <w:szCs w:val="22"/>
        </w:rPr>
        <w:t xml:space="preserve">are </w:t>
      </w:r>
      <w:r w:rsidR="00D56F39" w:rsidRPr="00FA3592">
        <w:rPr>
          <w:rFonts w:asciiTheme="minorHAnsi" w:hAnsiTheme="minorHAnsi"/>
          <w:sz w:val="22"/>
          <w:szCs w:val="22"/>
        </w:rPr>
        <w:t>summarised below</w:t>
      </w:r>
      <w:r w:rsidR="00194907" w:rsidRPr="00FA3592">
        <w:rPr>
          <w:rFonts w:asciiTheme="minorHAnsi" w:hAnsiTheme="minorHAnsi"/>
          <w:sz w:val="22"/>
          <w:szCs w:val="22"/>
        </w:rPr>
        <w:t>:</w:t>
      </w:r>
    </w:p>
    <w:p w:rsidR="001C6E5B" w:rsidRPr="00FA3592" w:rsidRDefault="001C6E5B" w:rsidP="004E05D8">
      <w:pPr>
        <w:overflowPunct/>
        <w:contextualSpacing/>
        <w:textAlignment w:val="auto"/>
        <w:rPr>
          <w:rFonts w:asciiTheme="minorHAnsi" w:hAnsiTheme="minorHAnsi"/>
          <w:sz w:val="22"/>
          <w:szCs w:val="22"/>
        </w:rPr>
      </w:pPr>
    </w:p>
    <w:p w:rsidR="00446F9D" w:rsidRPr="00FA3592" w:rsidRDefault="00446F9D" w:rsidP="001C6E5B">
      <w:pPr>
        <w:numPr>
          <w:ilvl w:val="0"/>
          <w:numId w:val="28"/>
        </w:numPr>
        <w:overflowPunct/>
        <w:ind w:hanging="720"/>
        <w:contextualSpacing/>
        <w:textAlignment w:val="auto"/>
        <w:rPr>
          <w:rFonts w:asciiTheme="minorHAnsi" w:hAnsiTheme="minorHAnsi"/>
          <w:sz w:val="22"/>
          <w:szCs w:val="22"/>
        </w:rPr>
      </w:pPr>
      <w:r w:rsidRPr="00FA3592">
        <w:rPr>
          <w:rFonts w:asciiTheme="minorHAnsi" w:hAnsiTheme="minorHAnsi"/>
          <w:sz w:val="22"/>
          <w:szCs w:val="22"/>
        </w:rPr>
        <w:t xml:space="preserve">Under the put option, Rātā grants to the Property Fund a separate option in respect of each of the three properties acquired from </w:t>
      </w:r>
      <w:r w:rsidR="00357070" w:rsidRPr="00FA3592">
        <w:rPr>
          <w:rFonts w:asciiTheme="minorHAnsi" w:hAnsiTheme="minorHAnsi"/>
          <w:sz w:val="22"/>
          <w:szCs w:val="22"/>
        </w:rPr>
        <w:t>Canterbury Trust House Limited</w:t>
      </w:r>
      <w:r w:rsidRPr="00FA3592">
        <w:rPr>
          <w:rFonts w:asciiTheme="minorHAnsi" w:hAnsiTheme="minorHAnsi"/>
          <w:sz w:val="22"/>
          <w:szCs w:val="22"/>
        </w:rPr>
        <w:t xml:space="preserve">.  </w:t>
      </w:r>
    </w:p>
    <w:p w:rsidR="00B15C7E" w:rsidRPr="00FA3592" w:rsidRDefault="00D56F39" w:rsidP="001C6E5B">
      <w:pPr>
        <w:numPr>
          <w:ilvl w:val="0"/>
          <w:numId w:val="28"/>
        </w:numPr>
        <w:overflowPunct/>
        <w:ind w:hanging="720"/>
        <w:contextualSpacing/>
        <w:textAlignment w:val="auto"/>
        <w:rPr>
          <w:rFonts w:asciiTheme="minorHAnsi" w:hAnsiTheme="minorHAnsi"/>
          <w:sz w:val="22"/>
          <w:szCs w:val="22"/>
        </w:rPr>
      </w:pPr>
      <w:r w:rsidRPr="00FA3592">
        <w:rPr>
          <w:rFonts w:asciiTheme="minorHAnsi" w:hAnsiTheme="minorHAnsi"/>
          <w:sz w:val="22"/>
          <w:szCs w:val="22"/>
        </w:rPr>
        <w:t xml:space="preserve">Each </w:t>
      </w:r>
      <w:r w:rsidR="005429FC" w:rsidRPr="00FA3592">
        <w:rPr>
          <w:rFonts w:asciiTheme="minorHAnsi" w:hAnsiTheme="minorHAnsi"/>
          <w:sz w:val="22"/>
          <w:szCs w:val="22"/>
        </w:rPr>
        <w:t>option give</w:t>
      </w:r>
      <w:r w:rsidRPr="00FA3592">
        <w:rPr>
          <w:rFonts w:asciiTheme="minorHAnsi" w:hAnsiTheme="minorHAnsi"/>
          <w:sz w:val="22"/>
          <w:szCs w:val="22"/>
        </w:rPr>
        <w:t>s</w:t>
      </w:r>
      <w:r w:rsidR="005429FC" w:rsidRPr="00FA3592">
        <w:rPr>
          <w:rFonts w:asciiTheme="minorHAnsi" w:hAnsiTheme="minorHAnsi"/>
          <w:sz w:val="22"/>
          <w:szCs w:val="22"/>
        </w:rPr>
        <w:t xml:space="preserve"> the Property Fund the right</w:t>
      </w:r>
      <w:r w:rsidR="00357070" w:rsidRPr="00FA3592">
        <w:rPr>
          <w:rFonts w:asciiTheme="minorHAnsi" w:hAnsiTheme="minorHAnsi"/>
          <w:sz w:val="22"/>
          <w:szCs w:val="22"/>
        </w:rPr>
        <w:t xml:space="preserve"> to transfer the relevant property the subject of that option to Rātā, on the terms summarised below,</w:t>
      </w:r>
      <w:r w:rsidR="005429FC" w:rsidRPr="00FA3592">
        <w:rPr>
          <w:rFonts w:asciiTheme="minorHAnsi" w:hAnsiTheme="minorHAnsi"/>
          <w:sz w:val="22"/>
          <w:szCs w:val="22"/>
        </w:rPr>
        <w:t xml:space="preserve"> to satisfy outstanding </w:t>
      </w:r>
      <w:r w:rsidR="001C6E5B" w:rsidRPr="00FA3592">
        <w:rPr>
          <w:rFonts w:asciiTheme="minorHAnsi" w:hAnsiTheme="minorHAnsi"/>
          <w:sz w:val="22"/>
          <w:szCs w:val="22"/>
        </w:rPr>
        <w:t xml:space="preserve">unit </w:t>
      </w:r>
      <w:r w:rsidR="005429FC" w:rsidRPr="00FA3592">
        <w:rPr>
          <w:rFonts w:asciiTheme="minorHAnsi" w:hAnsiTheme="minorHAnsi"/>
          <w:sz w:val="22"/>
          <w:szCs w:val="22"/>
        </w:rPr>
        <w:t xml:space="preserve">redemption and/or transfer requests that are received </w:t>
      </w:r>
      <w:r w:rsidR="00357070" w:rsidRPr="00FA3592">
        <w:rPr>
          <w:rFonts w:asciiTheme="minorHAnsi" w:hAnsiTheme="minorHAnsi"/>
          <w:sz w:val="22"/>
          <w:szCs w:val="22"/>
        </w:rPr>
        <w:t xml:space="preserve">in respect of the Fund from Rātā and its related parties </w:t>
      </w:r>
      <w:r w:rsidR="005429FC" w:rsidRPr="00FA3592">
        <w:rPr>
          <w:rFonts w:asciiTheme="minorHAnsi" w:hAnsiTheme="minorHAnsi"/>
          <w:sz w:val="22"/>
          <w:szCs w:val="22"/>
        </w:rPr>
        <w:t>before 3 December 2021.</w:t>
      </w:r>
      <w:r w:rsidR="00357070" w:rsidRPr="00FA3592">
        <w:rPr>
          <w:rFonts w:asciiTheme="minorHAnsi" w:hAnsiTheme="minorHAnsi"/>
          <w:sz w:val="22"/>
          <w:szCs w:val="22"/>
        </w:rPr>
        <w:t xml:space="preserve"> </w:t>
      </w:r>
    </w:p>
    <w:p w:rsidR="00D3717A" w:rsidRPr="00FA3592" w:rsidRDefault="00D3717A" w:rsidP="001C6E5B">
      <w:pPr>
        <w:numPr>
          <w:ilvl w:val="0"/>
          <w:numId w:val="28"/>
        </w:numPr>
        <w:overflowPunct/>
        <w:spacing w:after="0"/>
        <w:ind w:hanging="720"/>
        <w:contextualSpacing/>
        <w:textAlignment w:val="auto"/>
        <w:rPr>
          <w:rFonts w:asciiTheme="minorHAnsi" w:hAnsiTheme="minorHAnsi"/>
          <w:sz w:val="22"/>
          <w:szCs w:val="22"/>
        </w:rPr>
      </w:pPr>
      <w:r w:rsidRPr="00FA3592">
        <w:rPr>
          <w:rFonts w:asciiTheme="minorHAnsi" w:hAnsiTheme="minorHAnsi"/>
          <w:sz w:val="22"/>
          <w:szCs w:val="22"/>
        </w:rPr>
        <w:t>The purchase price under each option for the property the subject of that option is the fair market value of that property as at the end of the calendar month in which that option is exercised.</w:t>
      </w:r>
    </w:p>
    <w:p w:rsidR="00B15C7E" w:rsidRPr="009661D7" w:rsidRDefault="001C6E5B" w:rsidP="009661D7">
      <w:pPr>
        <w:numPr>
          <w:ilvl w:val="0"/>
          <w:numId w:val="28"/>
        </w:numPr>
        <w:overflowPunct/>
        <w:spacing w:after="0"/>
        <w:ind w:hanging="720"/>
        <w:contextualSpacing/>
        <w:textAlignment w:val="auto"/>
        <w:rPr>
          <w:rFonts w:asciiTheme="minorHAnsi" w:hAnsiTheme="minorHAnsi"/>
          <w:sz w:val="22"/>
          <w:szCs w:val="22"/>
        </w:rPr>
      </w:pPr>
      <w:r w:rsidRPr="009661D7">
        <w:rPr>
          <w:rFonts w:asciiTheme="minorHAnsi" w:hAnsiTheme="minorHAnsi"/>
          <w:sz w:val="22"/>
          <w:szCs w:val="22"/>
        </w:rPr>
        <w:t>Each</w:t>
      </w:r>
      <w:r w:rsidR="00B15C7E" w:rsidRPr="009661D7">
        <w:rPr>
          <w:rFonts w:asciiTheme="minorHAnsi" w:hAnsiTheme="minorHAnsi"/>
          <w:sz w:val="22"/>
          <w:szCs w:val="22"/>
        </w:rPr>
        <w:t xml:space="preserve"> </w:t>
      </w:r>
      <w:r w:rsidR="00E41A0F" w:rsidRPr="009661D7">
        <w:rPr>
          <w:rFonts w:asciiTheme="minorHAnsi" w:hAnsiTheme="minorHAnsi"/>
          <w:sz w:val="22"/>
          <w:szCs w:val="22"/>
        </w:rPr>
        <w:t xml:space="preserve">option </w:t>
      </w:r>
      <w:r w:rsidR="00B15C7E" w:rsidRPr="009661D7">
        <w:rPr>
          <w:rFonts w:asciiTheme="minorHAnsi" w:hAnsiTheme="minorHAnsi"/>
          <w:sz w:val="22"/>
          <w:szCs w:val="22"/>
        </w:rPr>
        <w:t xml:space="preserve">becomes </w:t>
      </w:r>
      <w:r w:rsidR="00E41A0F" w:rsidRPr="009661D7">
        <w:rPr>
          <w:rFonts w:asciiTheme="minorHAnsi" w:hAnsiTheme="minorHAnsi"/>
          <w:sz w:val="22"/>
          <w:szCs w:val="22"/>
        </w:rPr>
        <w:t xml:space="preserve">exercisable by the Property Fund during the </w:t>
      </w:r>
      <w:r w:rsidR="00B15C7E" w:rsidRPr="009661D7">
        <w:rPr>
          <w:rFonts w:asciiTheme="minorHAnsi" w:hAnsiTheme="minorHAnsi"/>
          <w:sz w:val="22"/>
          <w:szCs w:val="22"/>
        </w:rPr>
        <w:t xml:space="preserve">period to </w:t>
      </w:r>
      <w:r w:rsidR="00E41A0F" w:rsidRPr="009661D7">
        <w:rPr>
          <w:rFonts w:asciiTheme="minorHAnsi" w:hAnsiTheme="minorHAnsi"/>
          <w:sz w:val="22"/>
          <w:szCs w:val="22"/>
        </w:rPr>
        <w:t>3 December 20</w:t>
      </w:r>
      <w:r w:rsidR="00B15C7E" w:rsidRPr="009661D7">
        <w:rPr>
          <w:rFonts w:asciiTheme="minorHAnsi" w:hAnsiTheme="minorHAnsi"/>
          <w:sz w:val="22"/>
          <w:szCs w:val="22"/>
        </w:rPr>
        <w:t>22</w:t>
      </w:r>
      <w:r w:rsidR="00E41A0F" w:rsidRPr="009661D7">
        <w:rPr>
          <w:rFonts w:asciiTheme="minorHAnsi" w:hAnsiTheme="minorHAnsi"/>
          <w:sz w:val="22"/>
          <w:szCs w:val="22"/>
        </w:rPr>
        <w:t xml:space="preserve"> </w:t>
      </w:r>
      <w:r w:rsidR="0055426B" w:rsidRPr="009661D7">
        <w:rPr>
          <w:rFonts w:asciiTheme="minorHAnsi" w:hAnsiTheme="minorHAnsi"/>
          <w:sz w:val="22"/>
          <w:szCs w:val="22"/>
        </w:rPr>
        <w:t>(“</w:t>
      </w:r>
      <w:r w:rsidR="0055426B" w:rsidRPr="009661D7">
        <w:rPr>
          <w:rFonts w:asciiTheme="minorHAnsi" w:hAnsiTheme="minorHAnsi"/>
          <w:b/>
          <w:sz w:val="22"/>
          <w:szCs w:val="22"/>
        </w:rPr>
        <w:t>option period</w:t>
      </w:r>
      <w:r w:rsidR="0055426B" w:rsidRPr="009661D7">
        <w:rPr>
          <w:rFonts w:asciiTheme="minorHAnsi" w:hAnsiTheme="minorHAnsi"/>
          <w:sz w:val="22"/>
          <w:szCs w:val="22"/>
        </w:rPr>
        <w:t xml:space="preserve">”) </w:t>
      </w:r>
      <w:r w:rsidR="00E41A0F" w:rsidRPr="009661D7">
        <w:rPr>
          <w:rFonts w:asciiTheme="minorHAnsi" w:hAnsiTheme="minorHAnsi"/>
          <w:sz w:val="22"/>
          <w:szCs w:val="22"/>
        </w:rPr>
        <w:t>if</w:t>
      </w:r>
      <w:r w:rsidR="009661D7" w:rsidRPr="009661D7">
        <w:rPr>
          <w:rFonts w:asciiTheme="minorHAnsi" w:hAnsiTheme="minorHAnsi"/>
          <w:sz w:val="22"/>
          <w:szCs w:val="22"/>
        </w:rPr>
        <w:t xml:space="preserve"> </w:t>
      </w:r>
      <w:r w:rsidR="009661D7">
        <w:rPr>
          <w:rFonts w:asciiTheme="minorHAnsi" w:hAnsiTheme="minorHAnsi"/>
          <w:sz w:val="22"/>
          <w:szCs w:val="22"/>
        </w:rPr>
        <w:t xml:space="preserve"> </w:t>
      </w:r>
      <w:r w:rsidR="00E41A0F" w:rsidRPr="009661D7">
        <w:rPr>
          <w:rFonts w:asciiTheme="minorHAnsi" w:hAnsiTheme="minorHAnsi"/>
          <w:sz w:val="22"/>
          <w:szCs w:val="22"/>
        </w:rPr>
        <w:t>R</w:t>
      </w:r>
      <w:r w:rsidR="00E41A0F" w:rsidRPr="009661D7">
        <w:rPr>
          <w:rFonts w:asciiTheme="minorHAnsi" w:hAnsiTheme="minorHAnsi" w:cstheme="minorHAnsi"/>
          <w:sz w:val="22"/>
          <w:szCs w:val="22"/>
        </w:rPr>
        <w:t>ā</w:t>
      </w:r>
      <w:r w:rsidR="00E41A0F" w:rsidRPr="009661D7">
        <w:rPr>
          <w:rFonts w:asciiTheme="minorHAnsi" w:hAnsiTheme="minorHAnsi"/>
          <w:sz w:val="22"/>
          <w:szCs w:val="22"/>
        </w:rPr>
        <w:t>t</w:t>
      </w:r>
      <w:r w:rsidR="00E41A0F" w:rsidRPr="009661D7">
        <w:rPr>
          <w:rFonts w:asciiTheme="minorHAnsi" w:hAnsiTheme="minorHAnsi" w:cstheme="minorHAnsi"/>
          <w:sz w:val="22"/>
          <w:szCs w:val="22"/>
        </w:rPr>
        <w:t>ā</w:t>
      </w:r>
      <w:r w:rsidR="00E41A0F" w:rsidRPr="009661D7">
        <w:rPr>
          <w:rFonts w:asciiTheme="minorHAnsi" w:hAnsiTheme="minorHAnsi"/>
          <w:sz w:val="22"/>
          <w:szCs w:val="22"/>
        </w:rPr>
        <w:t xml:space="preserve"> </w:t>
      </w:r>
      <w:r w:rsidR="00B15C7E" w:rsidRPr="009661D7">
        <w:rPr>
          <w:rFonts w:asciiTheme="minorHAnsi" w:hAnsiTheme="minorHAnsi"/>
          <w:sz w:val="22"/>
          <w:szCs w:val="22"/>
        </w:rPr>
        <w:t xml:space="preserve">or a </w:t>
      </w:r>
      <w:r w:rsidR="00E41A0F" w:rsidRPr="009661D7">
        <w:rPr>
          <w:rFonts w:asciiTheme="minorHAnsi" w:hAnsiTheme="minorHAnsi"/>
          <w:sz w:val="22"/>
          <w:szCs w:val="22"/>
        </w:rPr>
        <w:t>related part</w:t>
      </w:r>
      <w:r w:rsidR="00B15C7E" w:rsidRPr="009661D7">
        <w:rPr>
          <w:rFonts w:asciiTheme="minorHAnsi" w:hAnsiTheme="minorHAnsi"/>
          <w:sz w:val="22"/>
          <w:szCs w:val="22"/>
        </w:rPr>
        <w:t>y of R</w:t>
      </w:r>
      <w:r w:rsidR="00B15C7E" w:rsidRPr="009661D7">
        <w:rPr>
          <w:rFonts w:asciiTheme="minorHAnsi" w:hAnsiTheme="minorHAnsi" w:cstheme="minorHAnsi"/>
          <w:sz w:val="22"/>
          <w:szCs w:val="22"/>
        </w:rPr>
        <w:t>ā</w:t>
      </w:r>
      <w:r w:rsidR="00B15C7E" w:rsidRPr="009661D7">
        <w:rPr>
          <w:rFonts w:asciiTheme="minorHAnsi" w:hAnsiTheme="minorHAnsi"/>
          <w:sz w:val="22"/>
          <w:szCs w:val="22"/>
        </w:rPr>
        <w:t>t</w:t>
      </w:r>
      <w:r w:rsidR="00B15C7E" w:rsidRPr="009661D7">
        <w:rPr>
          <w:rFonts w:asciiTheme="minorHAnsi" w:hAnsiTheme="minorHAnsi" w:cstheme="minorHAnsi"/>
          <w:sz w:val="22"/>
          <w:szCs w:val="22"/>
        </w:rPr>
        <w:t>ā</w:t>
      </w:r>
      <w:r w:rsidR="00E41A0F" w:rsidRPr="009661D7">
        <w:rPr>
          <w:rFonts w:asciiTheme="minorHAnsi" w:hAnsiTheme="minorHAnsi"/>
          <w:sz w:val="22"/>
          <w:szCs w:val="22"/>
        </w:rPr>
        <w:t xml:space="preserve">, </w:t>
      </w:r>
      <w:r w:rsidR="0055426B" w:rsidRPr="009661D7">
        <w:rPr>
          <w:rFonts w:asciiTheme="minorHAnsi" w:hAnsiTheme="minorHAnsi"/>
          <w:sz w:val="22"/>
          <w:szCs w:val="22"/>
        </w:rPr>
        <w:t>makes</w:t>
      </w:r>
      <w:r w:rsidR="00E41A0F" w:rsidRPr="009661D7">
        <w:rPr>
          <w:rFonts w:asciiTheme="minorHAnsi" w:hAnsiTheme="minorHAnsi"/>
          <w:sz w:val="22"/>
          <w:szCs w:val="22"/>
        </w:rPr>
        <w:t xml:space="preserve"> a </w:t>
      </w:r>
      <w:r w:rsidRPr="009661D7">
        <w:rPr>
          <w:rFonts w:asciiTheme="minorHAnsi" w:hAnsiTheme="minorHAnsi"/>
          <w:sz w:val="22"/>
          <w:szCs w:val="22"/>
        </w:rPr>
        <w:t xml:space="preserve">unit </w:t>
      </w:r>
      <w:r w:rsidR="00E41A0F" w:rsidRPr="009661D7">
        <w:rPr>
          <w:rFonts w:asciiTheme="minorHAnsi" w:hAnsiTheme="minorHAnsi"/>
          <w:sz w:val="22"/>
          <w:szCs w:val="22"/>
        </w:rPr>
        <w:t xml:space="preserve">redemption or transfer request </w:t>
      </w:r>
      <w:r w:rsidR="00B15C7E" w:rsidRPr="009661D7">
        <w:rPr>
          <w:rFonts w:asciiTheme="minorHAnsi" w:hAnsiTheme="minorHAnsi"/>
          <w:sz w:val="22"/>
          <w:szCs w:val="22"/>
        </w:rPr>
        <w:t xml:space="preserve">before </w:t>
      </w:r>
      <w:r w:rsidR="00E41A0F" w:rsidRPr="009661D7">
        <w:rPr>
          <w:rFonts w:asciiTheme="minorHAnsi" w:hAnsiTheme="minorHAnsi"/>
          <w:sz w:val="22"/>
          <w:szCs w:val="22"/>
        </w:rPr>
        <w:t>3 December 20</w:t>
      </w:r>
      <w:r w:rsidR="00B15C7E" w:rsidRPr="009661D7">
        <w:rPr>
          <w:rFonts w:asciiTheme="minorHAnsi" w:hAnsiTheme="minorHAnsi"/>
          <w:sz w:val="22"/>
          <w:szCs w:val="22"/>
        </w:rPr>
        <w:t>2</w:t>
      </w:r>
      <w:r w:rsidR="00E41A0F" w:rsidRPr="009661D7">
        <w:rPr>
          <w:rFonts w:asciiTheme="minorHAnsi" w:hAnsiTheme="minorHAnsi"/>
          <w:sz w:val="22"/>
          <w:szCs w:val="22"/>
        </w:rPr>
        <w:t xml:space="preserve">1 and that redemption or transfer request together with all other redemption </w:t>
      </w:r>
      <w:r w:rsidRPr="009661D7">
        <w:rPr>
          <w:rFonts w:asciiTheme="minorHAnsi" w:hAnsiTheme="minorHAnsi"/>
          <w:sz w:val="22"/>
          <w:szCs w:val="22"/>
        </w:rPr>
        <w:t>and</w:t>
      </w:r>
      <w:r w:rsidR="00E41A0F" w:rsidRPr="009661D7">
        <w:rPr>
          <w:rFonts w:asciiTheme="minorHAnsi" w:hAnsiTheme="minorHAnsi"/>
          <w:sz w:val="22"/>
          <w:szCs w:val="22"/>
        </w:rPr>
        <w:t xml:space="preserve"> transfer requests </w:t>
      </w:r>
      <w:r w:rsidR="0055426B" w:rsidRPr="009661D7">
        <w:rPr>
          <w:rFonts w:asciiTheme="minorHAnsi" w:hAnsiTheme="minorHAnsi"/>
          <w:sz w:val="22"/>
          <w:szCs w:val="22"/>
        </w:rPr>
        <w:t>made</w:t>
      </w:r>
      <w:r w:rsidR="00E41A0F" w:rsidRPr="009661D7">
        <w:rPr>
          <w:rFonts w:asciiTheme="minorHAnsi" w:hAnsiTheme="minorHAnsi"/>
          <w:sz w:val="22"/>
          <w:szCs w:val="22"/>
        </w:rPr>
        <w:t xml:space="preserve"> by R</w:t>
      </w:r>
      <w:r w:rsidR="00E41A0F" w:rsidRPr="009661D7">
        <w:rPr>
          <w:rFonts w:asciiTheme="minorHAnsi" w:hAnsiTheme="minorHAnsi" w:cstheme="minorHAnsi"/>
          <w:sz w:val="22"/>
          <w:szCs w:val="22"/>
        </w:rPr>
        <w:t>ā</w:t>
      </w:r>
      <w:r w:rsidR="00E41A0F" w:rsidRPr="009661D7">
        <w:rPr>
          <w:rFonts w:asciiTheme="minorHAnsi" w:hAnsiTheme="minorHAnsi"/>
          <w:sz w:val="22"/>
          <w:szCs w:val="22"/>
        </w:rPr>
        <w:t>t</w:t>
      </w:r>
      <w:r w:rsidR="00E41A0F" w:rsidRPr="009661D7">
        <w:rPr>
          <w:rFonts w:asciiTheme="minorHAnsi" w:hAnsiTheme="minorHAnsi" w:cstheme="minorHAnsi"/>
          <w:sz w:val="22"/>
          <w:szCs w:val="22"/>
        </w:rPr>
        <w:t>ā</w:t>
      </w:r>
      <w:r w:rsidR="00E41A0F" w:rsidRPr="009661D7">
        <w:rPr>
          <w:rFonts w:asciiTheme="minorHAnsi" w:hAnsiTheme="minorHAnsi"/>
          <w:sz w:val="22"/>
          <w:szCs w:val="22"/>
        </w:rPr>
        <w:t xml:space="preserve"> </w:t>
      </w:r>
      <w:r w:rsidR="00B15C7E" w:rsidRPr="009661D7">
        <w:rPr>
          <w:rFonts w:asciiTheme="minorHAnsi" w:hAnsiTheme="minorHAnsi"/>
          <w:sz w:val="22"/>
          <w:szCs w:val="22"/>
        </w:rPr>
        <w:t xml:space="preserve">and </w:t>
      </w:r>
      <w:r w:rsidR="00E41A0F" w:rsidRPr="009661D7">
        <w:rPr>
          <w:rFonts w:asciiTheme="minorHAnsi" w:hAnsiTheme="minorHAnsi"/>
          <w:sz w:val="22"/>
          <w:szCs w:val="22"/>
        </w:rPr>
        <w:t>its related parties</w:t>
      </w:r>
      <w:r w:rsidRPr="009661D7">
        <w:rPr>
          <w:rFonts w:asciiTheme="minorHAnsi" w:hAnsiTheme="minorHAnsi"/>
          <w:sz w:val="22"/>
          <w:szCs w:val="22"/>
        </w:rPr>
        <w:t xml:space="preserve"> in the previous 12 months</w:t>
      </w:r>
      <w:r w:rsidR="00E41A0F" w:rsidRPr="009661D7">
        <w:rPr>
          <w:rFonts w:asciiTheme="minorHAnsi" w:hAnsiTheme="minorHAnsi"/>
          <w:sz w:val="22"/>
          <w:szCs w:val="22"/>
        </w:rPr>
        <w:t xml:space="preserve"> </w:t>
      </w:r>
      <w:r w:rsidR="00B15C7E" w:rsidRPr="009661D7">
        <w:rPr>
          <w:rFonts w:asciiTheme="minorHAnsi" w:hAnsiTheme="minorHAnsi"/>
          <w:sz w:val="22"/>
          <w:szCs w:val="22"/>
        </w:rPr>
        <w:t xml:space="preserve">relates to </w:t>
      </w:r>
      <w:r w:rsidRPr="009661D7">
        <w:rPr>
          <w:rFonts w:asciiTheme="minorHAnsi" w:hAnsiTheme="minorHAnsi"/>
          <w:sz w:val="22"/>
          <w:szCs w:val="22"/>
        </w:rPr>
        <w:t xml:space="preserve">a total of </w:t>
      </w:r>
      <w:r w:rsidR="00B15C7E" w:rsidRPr="009661D7">
        <w:rPr>
          <w:rFonts w:asciiTheme="minorHAnsi" w:hAnsiTheme="minorHAnsi"/>
          <w:sz w:val="22"/>
          <w:szCs w:val="22"/>
        </w:rPr>
        <w:t>5</w:t>
      </w:r>
      <w:r w:rsidR="00357070" w:rsidRPr="009661D7">
        <w:rPr>
          <w:rFonts w:asciiTheme="minorHAnsi" w:hAnsiTheme="minorHAnsi"/>
          <w:sz w:val="22"/>
          <w:szCs w:val="22"/>
        </w:rPr>
        <w:t xml:space="preserve"> million</w:t>
      </w:r>
      <w:r w:rsidR="00B15C7E" w:rsidRPr="009661D7">
        <w:rPr>
          <w:rFonts w:asciiTheme="minorHAnsi" w:hAnsiTheme="minorHAnsi"/>
          <w:sz w:val="22"/>
          <w:szCs w:val="22"/>
        </w:rPr>
        <w:t xml:space="preserve"> or more units in the Property Fund</w:t>
      </w:r>
      <w:r w:rsidR="002B1E12">
        <w:rPr>
          <w:rFonts w:asciiTheme="minorHAnsi" w:hAnsiTheme="minorHAnsi"/>
          <w:sz w:val="22"/>
          <w:szCs w:val="22"/>
        </w:rPr>
        <w:t xml:space="preserve">.  </w:t>
      </w:r>
    </w:p>
    <w:p w:rsidR="00B15C7E" w:rsidRPr="00FA3592" w:rsidRDefault="00B15C7E" w:rsidP="001C6E5B">
      <w:pPr>
        <w:numPr>
          <w:ilvl w:val="0"/>
          <w:numId w:val="28"/>
        </w:numPr>
        <w:overflowPunct/>
        <w:ind w:hanging="720"/>
        <w:contextualSpacing/>
        <w:textAlignment w:val="auto"/>
        <w:rPr>
          <w:rFonts w:asciiTheme="minorHAnsi" w:hAnsiTheme="minorHAnsi"/>
          <w:sz w:val="22"/>
          <w:szCs w:val="22"/>
        </w:rPr>
      </w:pPr>
      <w:r w:rsidRPr="00FA3592">
        <w:rPr>
          <w:rFonts w:asciiTheme="minorHAnsi" w:hAnsiTheme="minorHAnsi"/>
          <w:sz w:val="22"/>
          <w:szCs w:val="22"/>
        </w:rPr>
        <w:t xml:space="preserve">If an option becomes </w:t>
      </w:r>
      <w:r w:rsidR="00E912B0" w:rsidRPr="00FA3592">
        <w:rPr>
          <w:rFonts w:asciiTheme="minorHAnsi" w:hAnsiTheme="minorHAnsi"/>
          <w:sz w:val="22"/>
          <w:szCs w:val="22"/>
        </w:rPr>
        <w:t>exercisable</w:t>
      </w:r>
      <w:r w:rsidR="001C6E5B" w:rsidRPr="00FA3592">
        <w:rPr>
          <w:rFonts w:asciiTheme="minorHAnsi" w:hAnsiTheme="minorHAnsi"/>
          <w:sz w:val="22"/>
          <w:szCs w:val="22"/>
        </w:rPr>
        <w:t>,</w:t>
      </w:r>
      <w:r w:rsidRPr="00FA3592">
        <w:rPr>
          <w:rFonts w:asciiTheme="minorHAnsi" w:hAnsiTheme="minorHAnsi"/>
          <w:sz w:val="22"/>
          <w:szCs w:val="22"/>
        </w:rPr>
        <w:t xml:space="preserve"> the Property Fund may exercise </w:t>
      </w:r>
      <w:r w:rsidR="001C6E5B" w:rsidRPr="00FA3592">
        <w:rPr>
          <w:rFonts w:asciiTheme="minorHAnsi" w:hAnsiTheme="minorHAnsi"/>
          <w:sz w:val="22"/>
          <w:szCs w:val="22"/>
        </w:rPr>
        <w:t>that</w:t>
      </w:r>
      <w:r w:rsidRPr="00FA3592">
        <w:rPr>
          <w:rFonts w:asciiTheme="minorHAnsi" w:hAnsiTheme="minorHAnsi"/>
          <w:sz w:val="22"/>
          <w:szCs w:val="22"/>
        </w:rPr>
        <w:t xml:space="preserve"> option at any time within 12 months following the occurrence of the event making the option exercisable</w:t>
      </w:r>
      <w:r w:rsidR="001C6E5B" w:rsidRPr="00FA3592">
        <w:rPr>
          <w:rFonts w:asciiTheme="minorHAnsi" w:hAnsiTheme="minorHAnsi"/>
          <w:sz w:val="22"/>
          <w:szCs w:val="22"/>
        </w:rPr>
        <w:t xml:space="preserve"> (“</w:t>
      </w:r>
      <w:r w:rsidR="001C6E5B" w:rsidRPr="00FA3592">
        <w:rPr>
          <w:rFonts w:asciiTheme="minorHAnsi" w:hAnsiTheme="minorHAnsi"/>
          <w:b/>
          <w:sz w:val="22"/>
          <w:szCs w:val="22"/>
        </w:rPr>
        <w:t>exercise period</w:t>
      </w:r>
      <w:r w:rsidR="001C6E5B" w:rsidRPr="00FA3592">
        <w:rPr>
          <w:rFonts w:asciiTheme="minorHAnsi" w:hAnsiTheme="minorHAnsi"/>
          <w:sz w:val="22"/>
          <w:szCs w:val="22"/>
        </w:rPr>
        <w:t>”)</w:t>
      </w:r>
      <w:r w:rsidRPr="00FA3592">
        <w:rPr>
          <w:rFonts w:asciiTheme="minorHAnsi" w:hAnsiTheme="minorHAnsi"/>
          <w:sz w:val="22"/>
          <w:szCs w:val="22"/>
        </w:rPr>
        <w:t>.</w:t>
      </w:r>
    </w:p>
    <w:p w:rsidR="00B15C7E" w:rsidRPr="00FA3592" w:rsidRDefault="00B15C7E" w:rsidP="001C6E5B">
      <w:pPr>
        <w:numPr>
          <w:ilvl w:val="0"/>
          <w:numId w:val="28"/>
        </w:numPr>
        <w:overflowPunct/>
        <w:ind w:hanging="720"/>
        <w:contextualSpacing/>
        <w:textAlignment w:val="auto"/>
        <w:rPr>
          <w:rFonts w:asciiTheme="minorHAnsi" w:hAnsiTheme="minorHAnsi"/>
          <w:sz w:val="22"/>
          <w:szCs w:val="22"/>
        </w:rPr>
      </w:pPr>
      <w:r w:rsidRPr="00FA3592">
        <w:rPr>
          <w:rFonts w:asciiTheme="minorHAnsi" w:hAnsiTheme="minorHAnsi"/>
          <w:sz w:val="22"/>
          <w:szCs w:val="22"/>
        </w:rPr>
        <w:t xml:space="preserve">The Property Fund may not exercise more than one option in an exercise period unless, in its reasonable opinion, the </w:t>
      </w:r>
      <w:r w:rsidR="00D56F39" w:rsidRPr="00FA3592">
        <w:rPr>
          <w:rFonts w:asciiTheme="minorHAnsi" w:hAnsiTheme="minorHAnsi"/>
          <w:sz w:val="22"/>
          <w:szCs w:val="22"/>
        </w:rPr>
        <w:t>ex</w:t>
      </w:r>
      <w:r w:rsidRPr="00FA3592">
        <w:rPr>
          <w:rFonts w:asciiTheme="minorHAnsi" w:hAnsiTheme="minorHAnsi"/>
          <w:sz w:val="22"/>
          <w:szCs w:val="22"/>
        </w:rPr>
        <w:t xml:space="preserve">ercise of </w:t>
      </w:r>
      <w:r w:rsidR="0058129D" w:rsidRPr="00FA3592">
        <w:rPr>
          <w:rFonts w:asciiTheme="minorHAnsi" w:hAnsiTheme="minorHAnsi"/>
          <w:sz w:val="22"/>
          <w:szCs w:val="22"/>
        </w:rPr>
        <w:t>more than one</w:t>
      </w:r>
      <w:r w:rsidRPr="00FA3592">
        <w:rPr>
          <w:rFonts w:asciiTheme="minorHAnsi" w:hAnsiTheme="minorHAnsi"/>
          <w:sz w:val="22"/>
          <w:szCs w:val="22"/>
        </w:rPr>
        <w:t xml:space="preserve"> option is required to satisfy then outstanding </w:t>
      </w:r>
      <w:r w:rsidR="001C6E5B" w:rsidRPr="00FA3592">
        <w:rPr>
          <w:rFonts w:asciiTheme="minorHAnsi" w:hAnsiTheme="minorHAnsi"/>
          <w:sz w:val="22"/>
          <w:szCs w:val="22"/>
        </w:rPr>
        <w:t xml:space="preserve">unit </w:t>
      </w:r>
      <w:r w:rsidRPr="00FA3592">
        <w:rPr>
          <w:rFonts w:asciiTheme="minorHAnsi" w:hAnsiTheme="minorHAnsi"/>
          <w:sz w:val="22"/>
          <w:szCs w:val="22"/>
        </w:rPr>
        <w:t xml:space="preserve">redemption </w:t>
      </w:r>
      <w:r w:rsidR="001C6E5B" w:rsidRPr="00FA3592">
        <w:rPr>
          <w:rFonts w:asciiTheme="minorHAnsi" w:hAnsiTheme="minorHAnsi"/>
          <w:sz w:val="22"/>
          <w:szCs w:val="22"/>
        </w:rPr>
        <w:t>and</w:t>
      </w:r>
      <w:r w:rsidRPr="00FA3592">
        <w:rPr>
          <w:rFonts w:asciiTheme="minorHAnsi" w:hAnsiTheme="minorHAnsi"/>
          <w:sz w:val="22"/>
          <w:szCs w:val="22"/>
        </w:rPr>
        <w:t xml:space="preserve"> transfer requests </w:t>
      </w:r>
      <w:r w:rsidR="001C6E5B" w:rsidRPr="00FA3592">
        <w:rPr>
          <w:rFonts w:asciiTheme="minorHAnsi" w:hAnsiTheme="minorHAnsi"/>
          <w:sz w:val="22"/>
          <w:szCs w:val="22"/>
        </w:rPr>
        <w:t xml:space="preserve">from Rātā and its related parties </w:t>
      </w:r>
      <w:r w:rsidRPr="00FA3592">
        <w:rPr>
          <w:rFonts w:asciiTheme="minorHAnsi" w:hAnsiTheme="minorHAnsi"/>
          <w:sz w:val="22"/>
          <w:szCs w:val="22"/>
        </w:rPr>
        <w:t>made before 3 December 2021.</w:t>
      </w:r>
    </w:p>
    <w:p w:rsidR="00B15C7E" w:rsidRPr="00FA3592" w:rsidRDefault="00B15C7E" w:rsidP="001C6E5B">
      <w:pPr>
        <w:numPr>
          <w:ilvl w:val="0"/>
          <w:numId w:val="28"/>
        </w:numPr>
        <w:overflowPunct/>
        <w:ind w:hanging="720"/>
        <w:contextualSpacing/>
        <w:textAlignment w:val="auto"/>
        <w:rPr>
          <w:rFonts w:asciiTheme="minorHAnsi" w:hAnsiTheme="minorHAnsi"/>
          <w:sz w:val="22"/>
          <w:szCs w:val="22"/>
        </w:rPr>
      </w:pPr>
      <w:r w:rsidRPr="00FA3592">
        <w:rPr>
          <w:rFonts w:asciiTheme="minorHAnsi" w:hAnsiTheme="minorHAnsi"/>
          <w:sz w:val="22"/>
          <w:szCs w:val="22"/>
        </w:rPr>
        <w:t>An option that is not exercised during an exercise period may be exercised in a subsequent exercise period.</w:t>
      </w:r>
    </w:p>
    <w:p w:rsidR="00B15C7E" w:rsidRPr="00FA3592" w:rsidRDefault="00B15C7E" w:rsidP="001C6E5B">
      <w:pPr>
        <w:numPr>
          <w:ilvl w:val="0"/>
          <w:numId w:val="28"/>
        </w:numPr>
        <w:overflowPunct/>
        <w:ind w:hanging="720"/>
        <w:contextualSpacing/>
        <w:textAlignment w:val="auto"/>
        <w:rPr>
          <w:rFonts w:asciiTheme="minorHAnsi" w:hAnsiTheme="minorHAnsi"/>
          <w:sz w:val="22"/>
          <w:szCs w:val="22"/>
        </w:rPr>
      </w:pPr>
      <w:r w:rsidRPr="00FA3592">
        <w:rPr>
          <w:rFonts w:asciiTheme="minorHAnsi" w:hAnsiTheme="minorHAnsi"/>
          <w:sz w:val="22"/>
          <w:szCs w:val="22"/>
        </w:rPr>
        <w:t>Once</w:t>
      </w:r>
      <w:r w:rsidR="001C6E5B" w:rsidRPr="00FA3592">
        <w:rPr>
          <w:rFonts w:asciiTheme="minorHAnsi" w:hAnsiTheme="minorHAnsi"/>
          <w:sz w:val="22"/>
          <w:szCs w:val="22"/>
        </w:rPr>
        <w:t xml:space="preserve"> an option is</w:t>
      </w:r>
      <w:r w:rsidRPr="00FA3592">
        <w:rPr>
          <w:rFonts w:asciiTheme="minorHAnsi" w:hAnsiTheme="minorHAnsi"/>
          <w:sz w:val="22"/>
          <w:szCs w:val="22"/>
        </w:rPr>
        <w:t xml:space="preserve"> exercised</w:t>
      </w:r>
      <w:r w:rsidR="00D3717A" w:rsidRPr="00FA3592">
        <w:rPr>
          <w:rFonts w:asciiTheme="minorHAnsi" w:hAnsiTheme="minorHAnsi"/>
          <w:sz w:val="22"/>
          <w:szCs w:val="22"/>
        </w:rPr>
        <w:t>,</w:t>
      </w:r>
      <w:r w:rsidRPr="00FA3592">
        <w:rPr>
          <w:rFonts w:asciiTheme="minorHAnsi" w:hAnsiTheme="minorHAnsi"/>
          <w:sz w:val="22"/>
          <w:szCs w:val="22"/>
        </w:rPr>
        <w:t xml:space="preserve"> the parties are to enter into an agreed form sale and purchase agreement </w:t>
      </w:r>
      <w:r w:rsidR="005429FC" w:rsidRPr="00FA3592">
        <w:rPr>
          <w:rFonts w:asciiTheme="minorHAnsi" w:hAnsiTheme="minorHAnsi"/>
          <w:sz w:val="22"/>
          <w:szCs w:val="22"/>
        </w:rPr>
        <w:t>in respect of the property the subject of th</w:t>
      </w:r>
      <w:r w:rsidR="00D3717A" w:rsidRPr="00FA3592">
        <w:rPr>
          <w:rFonts w:asciiTheme="minorHAnsi" w:hAnsiTheme="minorHAnsi"/>
          <w:sz w:val="22"/>
          <w:szCs w:val="22"/>
        </w:rPr>
        <w:t>at</w:t>
      </w:r>
      <w:r w:rsidR="005429FC" w:rsidRPr="00FA3592">
        <w:rPr>
          <w:rFonts w:asciiTheme="minorHAnsi" w:hAnsiTheme="minorHAnsi"/>
          <w:sz w:val="22"/>
          <w:szCs w:val="22"/>
        </w:rPr>
        <w:t xml:space="preserve"> </w:t>
      </w:r>
      <w:r w:rsidR="0055426B" w:rsidRPr="00FA3592">
        <w:rPr>
          <w:rFonts w:asciiTheme="minorHAnsi" w:hAnsiTheme="minorHAnsi"/>
          <w:sz w:val="22"/>
          <w:szCs w:val="22"/>
        </w:rPr>
        <w:t xml:space="preserve">exercised </w:t>
      </w:r>
      <w:r w:rsidR="005429FC" w:rsidRPr="00FA3592">
        <w:rPr>
          <w:rFonts w:asciiTheme="minorHAnsi" w:hAnsiTheme="minorHAnsi"/>
          <w:sz w:val="22"/>
          <w:szCs w:val="22"/>
        </w:rPr>
        <w:t>option</w:t>
      </w:r>
      <w:r w:rsidRPr="00FA3592">
        <w:rPr>
          <w:rFonts w:asciiTheme="minorHAnsi" w:hAnsiTheme="minorHAnsi"/>
          <w:sz w:val="22"/>
          <w:szCs w:val="22"/>
        </w:rPr>
        <w:t xml:space="preserve">. </w:t>
      </w:r>
    </w:p>
    <w:p w:rsidR="005429FC" w:rsidRPr="00FA3592" w:rsidRDefault="005429FC" w:rsidP="001C6E5B">
      <w:pPr>
        <w:numPr>
          <w:ilvl w:val="0"/>
          <w:numId w:val="28"/>
        </w:numPr>
        <w:overflowPunct/>
        <w:ind w:hanging="720"/>
        <w:contextualSpacing/>
        <w:textAlignment w:val="auto"/>
        <w:rPr>
          <w:rFonts w:asciiTheme="minorHAnsi" w:hAnsiTheme="minorHAnsi"/>
          <w:sz w:val="22"/>
          <w:szCs w:val="22"/>
        </w:rPr>
      </w:pPr>
      <w:r w:rsidRPr="00FA3592">
        <w:rPr>
          <w:rFonts w:asciiTheme="minorHAnsi" w:hAnsiTheme="minorHAnsi"/>
          <w:sz w:val="22"/>
          <w:szCs w:val="22"/>
        </w:rPr>
        <w:t xml:space="preserve">To the extent the </w:t>
      </w:r>
      <w:r w:rsidR="00D3717A" w:rsidRPr="00FA3592">
        <w:rPr>
          <w:rFonts w:asciiTheme="minorHAnsi" w:hAnsiTheme="minorHAnsi"/>
          <w:sz w:val="22"/>
          <w:szCs w:val="22"/>
        </w:rPr>
        <w:t xml:space="preserve">fair market </w:t>
      </w:r>
      <w:r w:rsidRPr="00FA3592">
        <w:rPr>
          <w:rFonts w:asciiTheme="minorHAnsi" w:hAnsiTheme="minorHAnsi"/>
          <w:sz w:val="22"/>
          <w:szCs w:val="22"/>
        </w:rPr>
        <w:t xml:space="preserve">value of a property </w:t>
      </w:r>
      <w:r w:rsidR="0055426B" w:rsidRPr="00FA3592">
        <w:rPr>
          <w:rFonts w:asciiTheme="minorHAnsi" w:hAnsiTheme="minorHAnsi"/>
          <w:sz w:val="22"/>
          <w:szCs w:val="22"/>
        </w:rPr>
        <w:t xml:space="preserve">the subject of an exercised option </w:t>
      </w:r>
      <w:r w:rsidRPr="00FA3592">
        <w:rPr>
          <w:rFonts w:asciiTheme="minorHAnsi" w:hAnsiTheme="minorHAnsi"/>
          <w:sz w:val="22"/>
          <w:szCs w:val="22"/>
        </w:rPr>
        <w:t xml:space="preserve">exceeds </w:t>
      </w:r>
      <w:r w:rsidR="00D3717A" w:rsidRPr="00FA3592">
        <w:rPr>
          <w:rFonts w:asciiTheme="minorHAnsi" w:hAnsiTheme="minorHAnsi"/>
          <w:sz w:val="22"/>
          <w:szCs w:val="22"/>
        </w:rPr>
        <w:t xml:space="preserve">the </w:t>
      </w:r>
      <w:r w:rsidRPr="00FA3592">
        <w:rPr>
          <w:rFonts w:asciiTheme="minorHAnsi" w:hAnsiTheme="minorHAnsi"/>
          <w:sz w:val="22"/>
          <w:szCs w:val="22"/>
        </w:rPr>
        <w:t xml:space="preserve">outstanding redemption and transfer requests </w:t>
      </w:r>
      <w:r w:rsidR="0055426B" w:rsidRPr="00FA3592">
        <w:rPr>
          <w:rFonts w:asciiTheme="minorHAnsi" w:hAnsiTheme="minorHAnsi"/>
          <w:sz w:val="22"/>
          <w:szCs w:val="22"/>
        </w:rPr>
        <w:t>made by Rātā</w:t>
      </w:r>
      <w:r w:rsidRPr="00FA3592">
        <w:rPr>
          <w:rFonts w:asciiTheme="minorHAnsi" w:hAnsiTheme="minorHAnsi"/>
          <w:sz w:val="22"/>
          <w:szCs w:val="22"/>
        </w:rPr>
        <w:t xml:space="preserve"> before 3 Decemb</w:t>
      </w:r>
      <w:r w:rsidR="0055426B" w:rsidRPr="00FA3592">
        <w:rPr>
          <w:rFonts w:asciiTheme="minorHAnsi" w:hAnsiTheme="minorHAnsi"/>
          <w:sz w:val="22"/>
          <w:szCs w:val="22"/>
        </w:rPr>
        <w:t>e</w:t>
      </w:r>
      <w:r w:rsidRPr="00FA3592">
        <w:rPr>
          <w:rFonts w:asciiTheme="minorHAnsi" w:hAnsiTheme="minorHAnsi"/>
          <w:sz w:val="22"/>
          <w:szCs w:val="22"/>
        </w:rPr>
        <w:t xml:space="preserve">r 2021, Rātā is required to satisfy the </w:t>
      </w:r>
      <w:r w:rsidR="0055426B" w:rsidRPr="00FA3592">
        <w:rPr>
          <w:rFonts w:asciiTheme="minorHAnsi" w:hAnsiTheme="minorHAnsi"/>
          <w:sz w:val="22"/>
          <w:szCs w:val="22"/>
        </w:rPr>
        <w:t>excess</w:t>
      </w:r>
      <w:r w:rsidRPr="00FA3592">
        <w:rPr>
          <w:rFonts w:asciiTheme="minorHAnsi" w:hAnsiTheme="minorHAnsi"/>
          <w:sz w:val="22"/>
          <w:szCs w:val="22"/>
        </w:rPr>
        <w:t xml:space="preserve"> value in cash.</w:t>
      </w:r>
    </w:p>
    <w:p w:rsidR="005429FC" w:rsidRPr="00FA3592" w:rsidRDefault="005429FC" w:rsidP="001C6E5B">
      <w:pPr>
        <w:numPr>
          <w:ilvl w:val="0"/>
          <w:numId w:val="28"/>
        </w:numPr>
        <w:overflowPunct/>
        <w:ind w:hanging="720"/>
        <w:contextualSpacing/>
        <w:textAlignment w:val="auto"/>
        <w:rPr>
          <w:rFonts w:asciiTheme="minorHAnsi" w:hAnsiTheme="minorHAnsi"/>
          <w:sz w:val="22"/>
          <w:szCs w:val="22"/>
        </w:rPr>
      </w:pPr>
      <w:r w:rsidRPr="00FA3592">
        <w:rPr>
          <w:rFonts w:asciiTheme="minorHAnsi" w:hAnsiTheme="minorHAnsi"/>
          <w:sz w:val="22"/>
          <w:szCs w:val="22"/>
        </w:rPr>
        <w:t xml:space="preserve">If Rātā transfers its units in the Property Fund to </w:t>
      </w:r>
      <w:r w:rsidR="0055426B" w:rsidRPr="00FA3592">
        <w:rPr>
          <w:rFonts w:asciiTheme="minorHAnsi" w:hAnsiTheme="minorHAnsi"/>
          <w:sz w:val="22"/>
          <w:szCs w:val="22"/>
        </w:rPr>
        <w:t>any other</w:t>
      </w:r>
      <w:r w:rsidRPr="00FA3592">
        <w:rPr>
          <w:rFonts w:asciiTheme="minorHAnsi" w:hAnsiTheme="minorHAnsi"/>
          <w:sz w:val="22"/>
          <w:szCs w:val="22"/>
        </w:rPr>
        <w:t xml:space="preserve"> </w:t>
      </w:r>
      <w:r w:rsidR="0055426B" w:rsidRPr="00FA3592">
        <w:rPr>
          <w:rFonts w:asciiTheme="minorHAnsi" w:hAnsiTheme="minorHAnsi"/>
          <w:sz w:val="22"/>
          <w:szCs w:val="22"/>
        </w:rPr>
        <w:t>Investor</w:t>
      </w:r>
      <w:r w:rsidRPr="00FA3592">
        <w:rPr>
          <w:rFonts w:asciiTheme="minorHAnsi" w:hAnsiTheme="minorHAnsi"/>
          <w:sz w:val="22"/>
          <w:szCs w:val="22"/>
        </w:rPr>
        <w:t xml:space="preserve">, </w:t>
      </w:r>
      <w:r w:rsidR="0055426B" w:rsidRPr="00FA3592">
        <w:rPr>
          <w:rFonts w:asciiTheme="minorHAnsi" w:hAnsiTheme="minorHAnsi"/>
          <w:sz w:val="22"/>
          <w:szCs w:val="22"/>
        </w:rPr>
        <w:t>that Investor must</w:t>
      </w:r>
      <w:r w:rsidRPr="00FA3592">
        <w:rPr>
          <w:rFonts w:asciiTheme="minorHAnsi" w:hAnsiTheme="minorHAnsi"/>
          <w:sz w:val="22"/>
          <w:szCs w:val="22"/>
        </w:rPr>
        <w:t xml:space="preserve">, on request by the Property Fund, enter into a deed on the same terms </w:t>
      </w:r>
      <w:r w:rsidR="0055426B" w:rsidRPr="00FA3592">
        <w:rPr>
          <w:rFonts w:asciiTheme="minorHAnsi" w:hAnsiTheme="minorHAnsi"/>
          <w:sz w:val="22"/>
          <w:szCs w:val="22"/>
        </w:rPr>
        <w:t xml:space="preserve">as the put option deed </w:t>
      </w:r>
      <w:r w:rsidRPr="00FA3592">
        <w:rPr>
          <w:rFonts w:asciiTheme="minorHAnsi" w:hAnsiTheme="minorHAnsi"/>
          <w:sz w:val="22"/>
          <w:szCs w:val="22"/>
        </w:rPr>
        <w:t>for the remain</w:t>
      </w:r>
      <w:r w:rsidR="0055426B" w:rsidRPr="00FA3592">
        <w:rPr>
          <w:rFonts w:asciiTheme="minorHAnsi" w:hAnsiTheme="minorHAnsi"/>
          <w:sz w:val="22"/>
          <w:szCs w:val="22"/>
        </w:rPr>
        <w:t>der of the option period</w:t>
      </w:r>
      <w:r w:rsidRPr="00FA3592">
        <w:rPr>
          <w:rFonts w:asciiTheme="minorHAnsi" w:hAnsiTheme="minorHAnsi"/>
          <w:sz w:val="22"/>
          <w:szCs w:val="22"/>
        </w:rPr>
        <w:t>.</w:t>
      </w:r>
    </w:p>
    <w:p w:rsidR="005D607B" w:rsidRDefault="005D607B" w:rsidP="005D607B">
      <w:bookmarkStart w:id="35" w:name="_Toc34647181"/>
      <w:bookmarkStart w:id="36" w:name="_Toc34916730"/>
      <w:r>
        <w:br w:type="page"/>
      </w:r>
    </w:p>
    <w:p w:rsidR="00CE5DE2" w:rsidRPr="000C7723" w:rsidRDefault="00A2731D" w:rsidP="00012AE1">
      <w:pPr>
        <w:pStyle w:val="Heading1"/>
      </w:pPr>
      <w:r>
        <w:rPr>
          <w:rFonts w:ascii="Arial" w:hAnsi="Arial" w:cs="Arial"/>
          <w:noProof/>
          <w:sz w:val="22"/>
          <w:szCs w:val="22"/>
        </w:rPr>
        <w:pict w14:anchorId="118823C4">
          <v:shape id="_x0000_s1027" style="position:absolute;left:0;text-align:left;margin-left:-24pt;margin-top:-44.9pt;width:559.5pt;height:804.6pt;rotation:180;flip:x;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r w:rsidR="00CE5DE2">
        <w:t>Conflicts of interest</w:t>
      </w:r>
      <w:bookmarkEnd w:id="35"/>
      <w:bookmarkEnd w:id="36"/>
    </w:p>
    <w:p w:rsidR="00D81EAC" w:rsidRDefault="00D81EAC" w:rsidP="00B77A13">
      <w:pPr>
        <w:pStyle w:val="Heading2"/>
      </w:pPr>
    </w:p>
    <w:p w:rsidR="00CE5DE2" w:rsidRDefault="00CE5DE2" w:rsidP="00B77A13">
      <w:pPr>
        <w:pStyle w:val="Heading2"/>
      </w:pPr>
      <w:r w:rsidRPr="002A6730">
        <w:t>General description of conflicts</w:t>
      </w:r>
      <w:r>
        <w:t>:</w:t>
      </w:r>
    </w:p>
    <w:p w:rsidR="00CE5DE2" w:rsidRPr="00B77A13" w:rsidRDefault="00CE5DE2" w:rsidP="00CE5DE2">
      <w:pPr>
        <w:overflowPunct/>
        <w:contextualSpacing/>
        <w:textAlignment w:val="auto"/>
        <w:rPr>
          <w:rFonts w:asciiTheme="minorHAnsi" w:hAnsiTheme="minorHAnsi"/>
          <w:sz w:val="22"/>
          <w:szCs w:val="22"/>
        </w:rPr>
      </w:pPr>
      <w:r w:rsidRPr="00B77A13">
        <w:rPr>
          <w:rFonts w:asciiTheme="minorHAnsi" w:hAnsiTheme="minorHAnsi"/>
          <w:sz w:val="22"/>
          <w:szCs w:val="22"/>
        </w:rPr>
        <w:t>The following give rise to inherent conflicts of interest:</w:t>
      </w:r>
    </w:p>
    <w:p w:rsidR="00CE5DE2" w:rsidRPr="00B77A13" w:rsidRDefault="00CE5DE2" w:rsidP="00CE5DE2">
      <w:pPr>
        <w:overflowPunct/>
        <w:contextualSpacing/>
        <w:textAlignment w:val="auto"/>
        <w:rPr>
          <w:rFonts w:asciiTheme="minorHAnsi" w:hAnsiTheme="minorHAnsi"/>
          <w:sz w:val="22"/>
          <w:szCs w:val="22"/>
        </w:rPr>
      </w:pPr>
    </w:p>
    <w:p w:rsidR="00CE5DE2" w:rsidRPr="00B77A13" w:rsidRDefault="00CE5DE2" w:rsidP="00CE5DE2">
      <w:pPr>
        <w:numPr>
          <w:ilvl w:val="0"/>
          <w:numId w:val="33"/>
        </w:numPr>
        <w:overflowPunct/>
        <w:ind w:left="567" w:hanging="567"/>
        <w:contextualSpacing/>
        <w:textAlignment w:val="auto"/>
        <w:rPr>
          <w:rFonts w:asciiTheme="minorHAnsi" w:hAnsiTheme="minorHAnsi"/>
          <w:sz w:val="22"/>
          <w:szCs w:val="22"/>
        </w:rPr>
      </w:pPr>
      <w:r w:rsidRPr="00B77A13">
        <w:rPr>
          <w:rFonts w:asciiTheme="minorHAnsi" w:hAnsiTheme="minorHAnsi"/>
          <w:sz w:val="22"/>
          <w:szCs w:val="22"/>
        </w:rPr>
        <w:t>We act as manager of the Balanced Fund, which invests exclusively in the other Funds, which we also manage (“</w:t>
      </w:r>
      <w:r w:rsidRPr="00B77A13">
        <w:rPr>
          <w:rFonts w:asciiTheme="minorHAnsi" w:hAnsiTheme="minorHAnsi"/>
          <w:b/>
          <w:sz w:val="22"/>
          <w:szCs w:val="22"/>
        </w:rPr>
        <w:t>Balanced Fund Conflict</w:t>
      </w:r>
      <w:r w:rsidRPr="00B77A13">
        <w:rPr>
          <w:rFonts w:asciiTheme="minorHAnsi" w:hAnsiTheme="minorHAnsi"/>
          <w:sz w:val="22"/>
          <w:szCs w:val="22"/>
        </w:rPr>
        <w:t>”).</w:t>
      </w:r>
    </w:p>
    <w:p w:rsidR="00CE5DE2" w:rsidRPr="00B77A13" w:rsidRDefault="00CE5DE2" w:rsidP="00CE5DE2">
      <w:pPr>
        <w:overflowPunct/>
        <w:ind w:left="567"/>
        <w:contextualSpacing/>
        <w:textAlignment w:val="auto"/>
        <w:rPr>
          <w:rFonts w:asciiTheme="minorHAnsi" w:hAnsiTheme="minorHAnsi"/>
          <w:sz w:val="22"/>
          <w:szCs w:val="22"/>
        </w:rPr>
      </w:pPr>
    </w:p>
    <w:p w:rsidR="00633E66" w:rsidRPr="00B77A13" w:rsidRDefault="00633E66" w:rsidP="00CE5DE2">
      <w:pPr>
        <w:numPr>
          <w:ilvl w:val="0"/>
          <w:numId w:val="33"/>
        </w:numPr>
        <w:overflowPunct/>
        <w:ind w:left="567" w:hanging="567"/>
        <w:contextualSpacing/>
        <w:textAlignment w:val="auto"/>
        <w:rPr>
          <w:rFonts w:asciiTheme="minorHAnsi" w:hAnsiTheme="minorHAnsi"/>
          <w:sz w:val="22"/>
          <w:szCs w:val="22"/>
        </w:rPr>
      </w:pPr>
      <w:r w:rsidRPr="00B77A13">
        <w:rPr>
          <w:rFonts w:asciiTheme="minorHAnsi" w:hAnsiTheme="minorHAnsi"/>
          <w:sz w:val="22"/>
          <w:szCs w:val="22"/>
        </w:rPr>
        <w:t xml:space="preserve">In addition to acting as manager of the Property Fund, we also act as property investment advisers to </w:t>
      </w:r>
      <w:r w:rsidR="00522AE0" w:rsidRPr="00B77A13">
        <w:rPr>
          <w:rFonts w:asciiTheme="minorHAnsi" w:hAnsiTheme="minorHAnsi"/>
          <w:sz w:val="22"/>
          <w:szCs w:val="22"/>
        </w:rPr>
        <w:t xml:space="preserve">certain wholesale </w:t>
      </w:r>
      <w:r w:rsidRPr="00B77A13">
        <w:rPr>
          <w:rFonts w:asciiTheme="minorHAnsi" w:hAnsiTheme="minorHAnsi"/>
          <w:sz w:val="22"/>
          <w:szCs w:val="22"/>
        </w:rPr>
        <w:t>clients</w:t>
      </w:r>
      <w:r w:rsidR="00522AE0" w:rsidRPr="00B77A13">
        <w:rPr>
          <w:rFonts w:asciiTheme="minorHAnsi" w:hAnsiTheme="minorHAnsi"/>
          <w:sz w:val="22"/>
          <w:szCs w:val="22"/>
        </w:rPr>
        <w:t xml:space="preserve"> in respect of their own property portfolios</w:t>
      </w:r>
      <w:r w:rsidR="002F5ED1" w:rsidRPr="00B77A13">
        <w:rPr>
          <w:rFonts w:asciiTheme="minorHAnsi" w:hAnsiTheme="minorHAnsi"/>
          <w:sz w:val="22"/>
          <w:szCs w:val="22"/>
        </w:rPr>
        <w:t xml:space="preserve"> (“</w:t>
      </w:r>
      <w:r w:rsidR="002F5ED1" w:rsidRPr="00B77A13">
        <w:rPr>
          <w:rFonts w:asciiTheme="minorHAnsi" w:hAnsiTheme="minorHAnsi"/>
          <w:b/>
          <w:sz w:val="22"/>
          <w:szCs w:val="22"/>
        </w:rPr>
        <w:t>Property Fund Conflict</w:t>
      </w:r>
      <w:r w:rsidR="002F5ED1" w:rsidRPr="00B77A13">
        <w:rPr>
          <w:rFonts w:asciiTheme="minorHAnsi" w:hAnsiTheme="minorHAnsi"/>
          <w:sz w:val="22"/>
          <w:szCs w:val="22"/>
        </w:rPr>
        <w:t>”).</w:t>
      </w:r>
      <w:r w:rsidR="00522AE0" w:rsidRPr="00B77A13">
        <w:rPr>
          <w:rFonts w:asciiTheme="minorHAnsi" w:hAnsiTheme="minorHAnsi"/>
          <w:sz w:val="22"/>
          <w:szCs w:val="22"/>
        </w:rPr>
        <w:t xml:space="preserve"> Certain of these wholesale clients jointly own properties with the Property Fund</w:t>
      </w:r>
      <w:r w:rsidR="002F5ED1" w:rsidRPr="00B77A13">
        <w:rPr>
          <w:rFonts w:asciiTheme="minorHAnsi" w:hAnsiTheme="minorHAnsi"/>
          <w:sz w:val="22"/>
          <w:szCs w:val="22"/>
        </w:rPr>
        <w:t>.</w:t>
      </w:r>
      <w:r w:rsidR="00522AE0" w:rsidRPr="00B77A13">
        <w:rPr>
          <w:rFonts w:asciiTheme="minorHAnsi" w:hAnsiTheme="minorHAnsi"/>
          <w:sz w:val="22"/>
          <w:szCs w:val="22"/>
        </w:rPr>
        <w:t xml:space="preserve"> </w:t>
      </w:r>
      <w:r w:rsidRPr="00B77A13">
        <w:rPr>
          <w:rFonts w:asciiTheme="minorHAnsi" w:hAnsiTheme="minorHAnsi"/>
          <w:sz w:val="22"/>
          <w:szCs w:val="22"/>
        </w:rPr>
        <w:t xml:space="preserve"> </w:t>
      </w:r>
    </w:p>
    <w:p w:rsidR="00CE5DE2" w:rsidRDefault="00CE5DE2" w:rsidP="00B77A13">
      <w:pPr>
        <w:pStyle w:val="Heading2"/>
      </w:pPr>
      <w:r w:rsidRPr="00B77A13">
        <w:t>Funds affected</w:t>
      </w:r>
    </w:p>
    <w:p w:rsidR="00CE5DE2" w:rsidRPr="00B77A13" w:rsidRDefault="00CE5DE2" w:rsidP="00CE5DE2">
      <w:pPr>
        <w:overflowPunct/>
        <w:contextualSpacing/>
        <w:textAlignment w:val="auto"/>
        <w:rPr>
          <w:rFonts w:asciiTheme="minorHAnsi" w:hAnsiTheme="minorHAnsi"/>
          <w:sz w:val="22"/>
          <w:szCs w:val="22"/>
        </w:rPr>
      </w:pPr>
      <w:r w:rsidRPr="00B77A13">
        <w:rPr>
          <w:rFonts w:asciiTheme="minorHAnsi" w:hAnsiTheme="minorHAnsi"/>
          <w:sz w:val="22"/>
          <w:szCs w:val="22"/>
        </w:rPr>
        <w:t xml:space="preserve">The Balanced Fund is affected by the Balanced Fund Conflict. The </w:t>
      </w:r>
      <w:r w:rsidR="00895001" w:rsidRPr="00B77A13">
        <w:rPr>
          <w:rFonts w:asciiTheme="minorHAnsi" w:hAnsiTheme="minorHAnsi"/>
          <w:sz w:val="22"/>
          <w:szCs w:val="22"/>
        </w:rPr>
        <w:t>Property</w:t>
      </w:r>
      <w:r w:rsidRPr="00B77A13">
        <w:rPr>
          <w:rFonts w:asciiTheme="minorHAnsi" w:hAnsiTheme="minorHAnsi"/>
          <w:sz w:val="22"/>
          <w:szCs w:val="22"/>
        </w:rPr>
        <w:t xml:space="preserve"> Fund </w:t>
      </w:r>
      <w:r w:rsidR="00522AE0" w:rsidRPr="00B77A13">
        <w:rPr>
          <w:rFonts w:asciiTheme="minorHAnsi" w:hAnsiTheme="minorHAnsi"/>
          <w:sz w:val="22"/>
          <w:szCs w:val="22"/>
        </w:rPr>
        <w:t>and the Balanced Fund (to the extent it invests in the Property Fund) are</w:t>
      </w:r>
      <w:r w:rsidRPr="00B77A13">
        <w:rPr>
          <w:rFonts w:asciiTheme="minorHAnsi" w:hAnsiTheme="minorHAnsi"/>
          <w:sz w:val="22"/>
          <w:szCs w:val="22"/>
        </w:rPr>
        <w:t xml:space="preserve"> affected by the </w:t>
      </w:r>
      <w:r w:rsidR="00895001" w:rsidRPr="00B77A13">
        <w:rPr>
          <w:rFonts w:asciiTheme="minorHAnsi" w:hAnsiTheme="minorHAnsi"/>
          <w:sz w:val="22"/>
          <w:szCs w:val="22"/>
        </w:rPr>
        <w:t>Property</w:t>
      </w:r>
      <w:r w:rsidRPr="00B77A13">
        <w:rPr>
          <w:rFonts w:asciiTheme="minorHAnsi" w:hAnsiTheme="minorHAnsi"/>
          <w:sz w:val="22"/>
          <w:szCs w:val="22"/>
        </w:rPr>
        <w:t xml:space="preserve"> Fund Conflict. </w:t>
      </w:r>
    </w:p>
    <w:p w:rsidR="00CE5DE2" w:rsidRDefault="00CE5DE2" w:rsidP="00B77A13">
      <w:pPr>
        <w:pStyle w:val="Heading2"/>
      </w:pPr>
      <w:r w:rsidRPr="00B77A13">
        <w:t>How conflicts would/could materially influence investment decisions</w:t>
      </w:r>
    </w:p>
    <w:p w:rsidR="00D81EAC" w:rsidRPr="00B77A13" w:rsidRDefault="00D81EAC" w:rsidP="00B77A13">
      <w:pPr>
        <w:pStyle w:val="Heading2"/>
      </w:pPr>
    </w:p>
    <w:p w:rsidR="00CE5DE2" w:rsidRPr="00D81EAC" w:rsidRDefault="00CE5DE2" w:rsidP="00D81EAC">
      <w:pPr>
        <w:overflowPunct/>
        <w:spacing w:after="120"/>
        <w:textAlignment w:val="auto"/>
        <w:rPr>
          <w:rFonts w:asciiTheme="minorHAnsi" w:hAnsiTheme="minorHAnsi"/>
          <w:b/>
          <w:i/>
          <w:sz w:val="22"/>
          <w:szCs w:val="22"/>
        </w:rPr>
      </w:pPr>
      <w:r w:rsidRPr="00D81EAC">
        <w:rPr>
          <w:rFonts w:asciiTheme="minorHAnsi" w:hAnsiTheme="minorHAnsi"/>
          <w:b/>
          <w:i/>
          <w:sz w:val="22"/>
          <w:szCs w:val="22"/>
        </w:rPr>
        <w:t xml:space="preserve">Balanced Fund Conflict </w:t>
      </w:r>
    </w:p>
    <w:p w:rsidR="00CE5DE2" w:rsidRPr="00B77A13" w:rsidRDefault="00CE5DE2" w:rsidP="00CE5DE2">
      <w:pPr>
        <w:overflowPunct/>
        <w:contextualSpacing/>
        <w:textAlignment w:val="auto"/>
        <w:rPr>
          <w:rFonts w:asciiTheme="minorHAnsi" w:hAnsiTheme="minorHAnsi"/>
          <w:sz w:val="22"/>
          <w:szCs w:val="22"/>
        </w:rPr>
      </w:pPr>
      <w:r w:rsidRPr="00B77A13">
        <w:rPr>
          <w:rFonts w:asciiTheme="minorHAnsi" w:hAnsiTheme="minorHAnsi"/>
          <w:sz w:val="22"/>
          <w:szCs w:val="22"/>
        </w:rPr>
        <w:t>We may have an incentive to invest in certain Funds ahead of other Funds, for example where we may stand to receive a greater management fee from certain Funds ahead of other Funds.</w:t>
      </w:r>
    </w:p>
    <w:p w:rsidR="00CE5DE2" w:rsidRPr="00B77A13" w:rsidRDefault="00CE5DE2" w:rsidP="00CE5DE2">
      <w:pPr>
        <w:overflowPunct/>
        <w:contextualSpacing/>
        <w:textAlignment w:val="auto"/>
        <w:rPr>
          <w:rFonts w:asciiTheme="minorHAnsi" w:hAnsiTheme="minorHAnsi"/>
          <w:sz w:val="22"/>
          <w:szCs w:val="22"/>
        </w:rPr>
      </w:pPr>
    </w:p>
    <w:p w:rsidR="00CE5DE2" w:rsidRPr="00D81EAC" w:rsidRDefault="00895001" w:rsidP="00D81EAC">
      <w:pPr>
        <w:overflowPunct/>
        <w:spacing w:after="120"/>
        <w:textAlignment w:val="auto"/>
        <w:rPr>
          <w:rFonts w:asciiTheme="minorHAnsi" w:hAnsiTheme="minorHAnsi"/>
          <w:b/>
          <w:sz w:val="22"/>
          <w:szCs w:val="22"/>
        </w:rPr>
      </w:pPr>
      <w:r w:rsidRPr="00D81EAC">
        <w:rPr>
          <w:rFonts w:asciiTheme="minorHAnsi" w:hAnsiTheme="minorHAnsi"/>
          <w:b/>
          <w:i/>
          <w:sz w:val="22"/>
          <w:szCs w:val="22"/>
        </w:rPr>
        <w:t>Property</w:t>
      </w:r>
      <w:r w:rsidR="00CE5DE2" w:rsidRPr="00D81EAC">
        <w:rPr>
          <w:rFonts w:asciiTheme="minorHAnsi" w:hAnsiTheme="minorHAnsi"/>
          <w:b/>
          <w:i/>
          <w:sz w:val="22"/>
          <w:szCs w:val="22"/>
        </w:rPr>
        <w:t xml:space="preserve"> Fund Conflict</w:t>
      </w:r>
    </w:p>
    <w:p w:rsidR="002F5ED1" w:rsidRPr="00B77A13" w:rsidRDefault="00895001" w:rsidP="00D81EAC">
      <w:pPr>
        <w:numPr>
          <w:ilvl w:val="0"/>
          <w:numId w:val="33"/>
        </w:numPr>
        <w:overflowPunct/>
        <w:spacing w:before="120" w:after="120"/>
        <w:ind w:left="567" w:hanging="567"/>
        <w:textAlignment w:val="auto"/>
        <w:rPr>
          <w:rFonts w:asciiTheme="minorHAnsi" w:hAnsiTheme="minorHAnsi"/>
          <w:sz w:val="22"/>
          <w:szCs w:val="22"/>
        </w:rPr>
      </w:pPr>
      <w:r w:rsidRPr="00B77A13">
        <w:rPr>
          <w:rFonts w:asciiTheme="minorHAnsi" w:hAnsiTheme="minorHAnsi"/>
          <w:sz w:val="22"/>
          <w:szCs w:val="22"/>
        </w:rPr>
        <w:t xml:space="preserve">We may have an incentive to </w:t>
      </w:r>
      <w:r w:rsidR="009C22F8" w:rsidRPr="00B77A13">
        <w:rPr>
          <w:rFonts w:asciiTheme="minorHAnsi" w:hAnsiTheme="minorHAnsi"/>
          <w:sz w:val="22"/>
          <w:szCs w:val="22"/>
        </w:rPr>
        <w:t xml:space="preserve">have other property portfolios </w:t>
      </w:r>
      <w:r w:rsidR="002F5ED1" w:rsidRPr="00B77A13">
        <w:rPr>
          <w:rFonts w:asciiTheme="minorHAnsi" w:hAnsiTheme="minorHAnsi"/>
          <w:sz w:val="22"/>
          <w:szCs w:val="22"/>
        </w:rPr>
        <w:t>advised</w:t>
      </w:r>
      <w:r w:rsidR="009C22F8" w:rsidRPr="00B77A13">
        <w:rPr>
          <w:rFonts w:asciiTheme="minorHAnsi" w:hAnsiTheme="minorHAnsi"/>
          <w:sz w:val="22"/>
          <w:szCs w:val="22"/>
        </w:rPr>
        <w:t xml:space="preserve"> by us acquire suitable properties identified by us for acquisition, ahead of the Property Fund. </w:t>
      </w:r>
    </w:p>
    <w:p w:rsidR="002F5ED1" w:rsidRPr="00B77A13" w:rsidRDefault="002F5ED1" w:rsidP="00D81EAC">
      <w:pPr>
        <w:numPr>
          <w:ilvl w:val="0"/>
          <w:numId w:val="33"/>
        </w:numPr>
        <w:overflowPunct/>
        <w:spacing w:before="120" w:after="120"/>
        <w:ind w:left="567" w:hanging="567"/>
        <w:textAlignment w:val="auto"/>
        <w:rPr>
          <w:rFonts w:asciiTheme="minorHAnsi" w:hAnsiTheme="minorHAnsi"/>
          <w:sz w:val="22"/>
          <w:szCs w:val="22"/>
        </w:rPr>
      </w:pPr>
      <w:r w:rsidRPr="00B77A13">
        <w:rPr>
          <w:rFonts w:asciiTheme="minorHAnsi" w:hAnsiTheme="minorHAnsi"/>
          <w:sz w:val="22"/>
          <w:szCs w:val="22"/>
        </w:rPr>
        <w:t xml:space="preserve">Where a wholesale client to which we provide property investment advice determines to sell </w:t>
      </w:r>
      <w:r w:rsidR="00D81EAC" w:rsidRPr="00D81EAC">
        <w:rPr>
          <w:rFonts w:asciiTheme="minorHAnsi" w:hAnsiTheme="minorHAnsi"/>
          <w:sz w:val="22"/>
          <w:szCs w:val="22"/>
        </w:rPr>
        <w:t xml:space="preserve">its interest in </w:t>
      </w:r>
      <w:r w:rsidRPr="00B77A13">
        <w:rPr>
          <w:rFonts w:asciiTheme="minorHAnsi" w:hAnsiTheme="minorHAnsi"/>
          <w:sz w:val="22"/>
          <w:szCs w:val="22"/>
        </w:rPr>
        <w:t xml:space="preserve">a property that it jointly owns with the Property Fund, our relationship with that wholesale client could influence </w:t>
      </w:r>
      <w:r w:rsidR="000C470B" w:rsidRPr="00B77A13">
        <w:rPr>
          <w:rFonts w:asciiTheme="minorHAnsi" w:hAnsiTheme="minorHAnsi"/>
          <w:sz w:val="22"/>
          <w:szCs w:val="22"/>
        </w:rPr>
        <w:t xml:space="preserve">us to favour </w:t>
      </w:r>
      <w:r w:rsidRPr="00B77A13">
        <w:rPr>
          <w:rFonts w:asciiTheme="minorHAnsi" w:hAnsiTheme="minorHAnsi"/>
          <w:sz w:val="22"/>
          <w:szCs w:val="22"/>
        </w:rPr>
        <w:t>sell</w:t>
      </w:r>
      <w:r w:rsidR="000C470B" w:rsidRPr="00B77A13">
        <w:rPr>
          <w:rFonts w:asciiTheme="minorHAnsi" w:hAnsiTheme="minorHAnsi"/>
          <w:sz w:val="22"/>
          <w:szCs w:val="22"/>
        </w:rPr>
        <w:t>ing</w:t>
      </w:r>
      <w:r w:rsidRPr="00B77A13">
        <w:rPr>
          <w:rFonts w:asciiTheme="minorHAnsi" w:hAnsiTheme="minorHAnsi"/>
          <w:sz w:val="22"/>
          <w:szCs w:val="22"/>
        </w:rPr>
        <w:t xml:space="preserve"> the Property Fund’</w:t>
      </w:r>
      <w:r w:rsidR="000C470B" w:rsidRPr="00B77A13">
        <w:rPr>
          <w:rFonts w:asciiTheme="minorHAnsi" w:hAnsiTheme="minorHAnsi"/>
          <w:sz w:val="22"/>
          <w:szCs w:val="22"/>
        </w:rPr>
        <w:t>s interest in that</w:t>
      </w:r>
      <w:r w:rsidRPr="00B77A13">
        <w:rPr>
          <w:rFonts w:asciiTheme="minorHAnsi" w:hAnsiTheme="minorHAnsi"/>
          <w:sz w:val="22"/>
          <w:szCs w:val="22"/>
        </w:rPr>
        <w:t xml:space="preserve"> property at the same time</w:t>
      </w:r>
      <w:r w:rsidR="000C470B" w:rsidRPr="00B77A13">
        <w:rPr>
          <w:rFonts w:asciiTheme="minorHAnsi" w:hAnsiTheme="minorHAnsi"/>
          <w:sz w:val="22"/>
          <w:szCs w:val="22"/>
        </w:rPr>
        <w:t>.</w:t>
      </w:r>
      <w:r w:rsidRPr="00B77A13">
        <w:rPr>
          <w:rFonts w:asciiTheme="minorHAnsi" w:hAnsiTheme="minorHAnsi"/>
          <w:sz w:val="22"/>
          <w:szCs w:val="22"/>
        </w:rPr>
        <w:t xml:space="preserve"> </w:t>
      </w:r>
    </w:p>
    <w:p w:rsidR="00D81EAC" w:rsidRDefault="00D81EAC" w:rsidP="00B77A13">
      <w:pPr>
        <w:pStyle w:val="Heading2"/>
      </w:pPr>
    </w:p>
    <w:p w:rsidR="00CE5DE2" w:rsidRDefault="00CE5DE2" w:rsidP="00B77A13">
      <w:pPr>
        <w:pStyle w:val="Heading2"/>
      </w:pPr>
      <w:r w:rsidRPr="00B77A13">
        <w:t>Steps taken to manage conflicts of interest</w:t>
      </w:r>
    </w:p>
    <w:p w:rsidR="00CE5DE2" w:rsidRPr="00B77A13" w:rsidRDefault="00CE5DE2" w:rsidP="00CE5DE2">
      <w:pPr>
        <w:overflowPunct/>
        <w:contextualSpacing/>
        <w:textAlignment w:val="auto"/>
        <w:rPr>
          <w:rFonts w:asciiTheme="minorHAnsi" w:hAnsiTheme="minorHAnsi"/>
          <w:sz w:val="22"/>
          <w:szCs w:val="22"/>
        </w:rPr>
      </w:pPr>
      <w:r w:rsidRPr="00B77A13">
        <w:rPr>
          <w:rFonts w:asciiTheme="minorHAnsi" w:hAnsiTheme="minorHAnsi"/>
          <w:sz w:val="22"/>
          <w:szCs w:val="22"/>
        </w:rPr>
        <w:t>The FMC Act imposes statutory controls on conflicts of interest:</w:t>
      </w:r>
    </w:p>
    <w:p w:rsidR="00CE5DE2" w:rsidRPr="00B77A13" w:rsidRDefault="00CE5DE2" w:rsidP="00CE5DE2">
      <w:pPr>
        <w:overflowPunct/>
        <w:contextualSpacing/>
        <w:textAlignment w:val="auto"/>
        <w:rPr>
          <w:rFonts w:asciiTheme="minorHAnsi" w:hAnsiTheme="minorHAnsi"/>
          <w:sz w:val="22"/>
          <w:szCs w:val="22"/>
        </w:rPr>
      </w:pPr>
    </w:p>
    <w:p w:rsidR="00CE5DE2" w:rsidRPr="00B77A13" w:rsidRDefault="008D1504" w:rsidP="00D81EAC">
      <w:pPr>
        <w:numPr>
          <w:ilvl w:val="0"/>
          <w:numId w:val="33"/>
        </w:numPr>
        <w:overflowPunct/>
        <w:spacing w:before="120" w:after="120"/>
        <w:ind w:left="567" w:hanging="567"/>
        <w:textAlignment w:val="auto"/>
        <w:rPr>
          <w:rFonts w:asciiTheme="minorHAnsi" w:hAnsiTheme="minorHAnsi"/>
          <w:sz w:val="22"/>
          <w:szCs w:val="22"/>
        </w:rPr>
      </w:pPr>
      <w:r w:rsidRPr="00B77A13">
        <w:rPr>
          <w:rFonts w:asciiTheme="minorHAnsi" w:hAnsiTheme="minorHAnsi"/>
          <w:sz w:val="22"/>
          <w:szCs w:val="22"/>
        </w:rPr>
        <w:t>We must, in exercising any power, or performing any duties, exercise the care, diligence and skill that a prudent person engaged in that profession would exercise in those circumstances; act honestly as manager; act in the best interests of investors; and treat investors fairly.</w:t>
      </w:r>
    </w:p>
    <w:p w:rsidR="00CE5DE2" w:rsidRPr="00B77A13" w:rsidRDefault="00CE5DE2" w:rsidP="00D81EAC">
      <w:pPr>
        <w:numPr>
          <w:ilvl w:val="0"/>
          <w:numId w:val="33"/>
        </w:numPr>
        <w:overflowPunct/>
        <w:spacing w:before="120" w:after="120"/>
        <w:ind w:left="567" w:hanging="567"/>
        <w:textAlignment w:val="auto"/>
        <w:rPr>
          <w:rFonts w:asciiTheme="minorHAnsi" w:hAnsiTheme="minorHAnsi"/>
          <w:sz w:val="22"/>
          <w:szCs w:val="22"/>
        </w:rPr>
      </w:pPr>
      <w:r w:rsidRPr="00B77A13">
        <w:rPr>
          <w:rFonts w:asciiTheme="minorHAnsi" w:hAnsiTheme="minorHAnsi"/>
          <w:sz w:val="22"/>
          <w:szCs w:val="22"/>
        </w:rPr>
        <w:t>A related party transaction that provides a related party benefit as prescribed by the FMC Act may only be done if we notify the Supervisor and either (i) we provide any certifications required by the FMC Act or (ii) we obtain the Supervisor’s consent.</w:t>
      </w:r>
    </w:p>
    <w:p w:rsidR="00CE5DE2" w:rsidRDefault="00CE5DE2" w:rsidP="00CE5DE2">
      <w:pPr>
        <w:overflowPunct/>
        <w:contextualSpacing/>
        <w:textAlignment w:val="auto"/>
        <w:rPr>
          <w:rFonts w:asciiTheme="minorHAnsi" w:hAnsiTheme="minorHAnsi"/>
          <w:sz w:val="22"/>
          <w:szCs w:val="22"/>
        </w:rPr>
      </w:pPr>
    </w:p>
    <w:p w:rsidR="005D607B" w:rsidRDefault="005D607B" w:rsidP="00CE5DE2">
      <w:pPr>
        <w:overflowPunct/>
        <w:contextualSpacing/>
        <w:textAlignment w:val="auto"/>
        <w:rPr>
          <w:rFonts w:asciiTheme="minorHAnsi" w:hAnsiTheme="minorHAnsi"/>
          <w:sz w:val="22"/>
          <w:szCs w:val="22"/>
        </w:rPr>
      </w:pPr>
      <w:r>
        <w:rPr>
          <w:rFonts w:asciiTheme="minorHAnsi" w:hAnsiTheme="minorHAnsi"/>
          <w:sz w:val="22"/>
          <w:szCs w:val="22"/>
        </w:rPr>
        <w:br w:type="page"/>
      </w:r>
    </w:p>
    <w:p w:rsidR="00D81EAC" w:rsidRPr="00B77A13" w:rsidRDefault="005D607B" w:rsidP="00CE5DE2">
      <w:pPr>
        <w:overflowPunct/>
        <w:contextualSpacing/>
        <w:textAlignment w:val="auto"/>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72576" behindDoc="0" locked="0" layoutInCell="1" allowOverlap="1" wp14:anchorId="118823C4" wp14:editId="597628D2">
                <wp:simplePos x="0" y="0"/>
                <wp:positionH relativeFrom="column">
                  <wp:posOffset>-374830</wp:posOffset>
                </wp:positionH>
                <wp:positionV relativeFrom="paragraph">
                  <wp:posOffset>-624328</wp:posOffset>
                </wp:positionV>
                <wp:extent cx="7105650" cy="10218420"/>
                <wp:effectExtent l="0" t="0" r="19050" b="11430"/>
                <wp:wrapNone/>
                <wp:docPr id="16" name="Round Diagonal Corner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7105650" cy="10218420"/>
                        </a:xfrm>
                        <a:prstGeom prst="round2DiagRect">
                          <a:avLst/>
                        </a:prstGeom>
                        <a:noFill/>
                        <a:ln w="25400" cap="flat" cmpd="sng" algn="ctr">
                          <a:solidFill>
                            <a:srgbClr val="009900"/>
                          </a:solid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70FD5EA" id="Round Diagonal Corner Rectangle 16" o:spid="_x0000_s1026" style="position:absolute;margin-left:-29.5pt;margin-top:-49.15pt;width:559.5pt;height:804.6pt;rotation:18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mc:Fallback>
        </mc:AlternateContent>
      </w:r>
    </w:p>
    <w:p w:rsidR="00D81EAC" w:rsidRPr="00D81EAC" w:rsidRDefault="00D81EAC" w:rsidP="00D81EAC">
      <w:pPr>
        <w:pStyle w:val="Heading2"/>
      </w:pPr>
      <w:r w:rsidRPr="00D81EAC">
        <w:t>Trust Management Related Party Benefits Policy and Property Allocation to Clients Policy</w:t>
      </w:r>
    </w:p>
    <w:p w:rsidR="00D81EAC" w:rsidRPr="00D81EAC" w:rsidRDefault="00D81EAC" w:rsidP="00D81EAC">
      <w:pPr>
        <w:overflowPunct/>
        <w:contextualSpacing/>
        <w:textAlignment w:val="auto"/>
        <w:rPr>
          <w:rFonts w:asciiTheme="minorHAnsi" w:hAnsiTheme="minorHAnsi"/>
          <w:sz w:val="22"/>
          <w:szCs w:val="22"/>
        </w:rPr>
      </w:pPr>
    </w:p>
    <w:p w:rsidR="00D81EAC" w:rsidRPr="00D81EAC" w:rsidRDefault="00D81EAC" w:rsidP="00D81EAC">
      <w:pPr>
        <w:overflowPunct/>
        <w:contextualSpacing/>
        <w:textAlignment w:val="auto"/>
        <w:rPr>
          <w:rFonts w:asciiTheme="minorHAnsi" w:hAnsiTheme="minorHAnsi"/>
          <w:sz w:val="22"/>
          <w:szCs w:val="22"/>
        </w:rPr>
      </w:pPr>
      <w:r w:rsidRPr="00D81EAC">
        <w:rPr>
          <w:rFonts w:asciiTheme="minorHAnsi" w:hAnsiTheme="minorHAnsi"/>
          <w:sz w:val="22"/>
          <w:szCs w:val="22"/>
        </w:rPr>
        <w:t>In addition to the statutory controls, we have adopted and comply with the Trust Management Related Party Benefits Policy which sets out a process for identifying and managing related party transactions and is consistent with the related party transaction rules set out in the FMC Act.</w:t>
      </w:r>
    </w:p>
    <w:p w:rsidR="00D81EAC" w:rsidRPr="00D81EAC" w:rsidRDefault="00D81EAC" w:rsidP="00D81EAC">
      <w:pPr>
        <w:overflowPunct/>
        <w:contextualSpacing/>
        <w:textAlignment w:val="auto"/>
        <w:rPr>
          <w:rFonts w:asciiTheme="minorHAnsi" w:hAnsiTheme="minorHAnsi"/>
          <w:sz w:val="22"/>
          <w:szCs w:val="22"/>
        </w:rPr>
      </w:pPr>
    </w:p>
    <w:p w:rsidR="00D81EAC" w:rsidRPr="00D81EAC" w:rsidRDefault="00D81EAC" w:rsidP="00D81EAC">
      <w:pPr>
        <w:overflowPunct/>
        <w:contextualSpacing/>
        <w:textAlignment w:val="auto"/>
        <w:rPr>
          <w:rFonts w:asciiTheme="minorHAnsi" w:hAnsiTheme="minorHAnsi"/>
          <w:sz w:val="22"/>
          <w:szCs w:val="22"/>
        </w:rPr>
      </w:pPr>
      <w:r w:rsidRPr="00D81EAC">
        <w:rPr>
          <w:rFonts w:asciiTheme="minorHAnsi" w:hAnsiTheme="minorHAnsi"/>
          <w:sz w:val="22"/>
          <w:szCs w:val="22"/>
        </w:rPr>
        <w:t>We have also adopted and comply with a Property Allocation to Clients Policy, which provides a framework for how to identify, manage and mitigate circumstances where the Property Fund and another property portfolio advised by us may have an interest in acquiring the same property. Any decision to acquire a property by the Property Fund in such circumstances is made by Trust Management’s Board (which is comprised of a majority of independent directors) to ensure that the decision is made in the best interests of investors in the Property Fund.</w:t>
      </w:r>
    </w:p>
    <w:p w:rsidR="00D81EAC" w:rsidRPr="00D81EAC" w:rsidRDefault="00D81EAC" w:rsidP="00D81EAC">
      <w:pPr>
        <w:overflowPunct/>
        <w:contextualSpacing/>
        <w:textAlignment w:val="auto"/>
        <w:rPr>
          <w:rFonts w:asciiTheme="minorHAnsi" w:hAnsiTheme="minorHAnsi"/>
          <w:sz w:val="22"/>
          <w:szCs w:val="22"/>
        </w:rPr>
      </w:pPr>
    </w:p>
    <w:p w:rsidR="00D81EAC" w:rsidRPr="00D81EAC" w:rsidRDefault="00D81EAC" w:rsidP="00D81EAC">
      <w:pPr>
        <w:overflowPunct/>
        <w:contextualSpacing/>
        <w:textAlignment w:val="auto"/>
        <w:rPr>
          <w:rFonts w:asciiTheme="minorHAnsi" w:hAnsiTheme="minorHAnsi"/>
          <w:sz w:val="22"/>
          <w:szCs w:val="22"/>
        </w:rPr>
      </w:pPr>
      <w:r w:rsidRPr="00D81EAC">
        <w:rPr>
          <w:rFonts w:asciiTheme="minorHAnsi" w:hAnsiTheme="minorHAnsi"/>
          <w:sz w:val="22"/>
          <w:szCs w:val="22"/>
        </w:rPr>
        <w:t xml:space="preserve">We have also entered into tenants-in-common agreements with those persons with whom the Property Fund co-owns property, to assist in mitigating potential conflicts as to the disposal of such properties. These tenants-in-common agreements provide that if either party wishes to dispose of its interest in a property they must first offer it to the other party. In the case of the Property Fund, any decision to exercise this pre-emptive right, or to sell the Property Fund’s interest in such a property, is made by Trust Management’s Board to ensure the decision is made solely taking into account the interests of investors in the Property Fund. </w:t>
      </w:r>
    </w:p>
    <w:p w:rsidR="00CE5DE2" w:rsidRPr="001839ED" w:rsidRDefault="00CE5DE2" w:rsidP="00CE5DE2">
      <w:pPr>
        <w:overflowPunct/>
        <w:contextualSpacing/>
        <w:textAlignment w:val="auto"/>
      </w:pPr>
    </w:p>
    <w:p w:rsidR="002159A3" w:rsidRPr="000C7723" w:rsidRDefault="002159A3" w:rsidP="00012AE1">
      <w:pPr>
        <w:pStyle w:val="Heading1"/>
      </w:pPr>
      <w:bookmarkStart w:id="37" w:name="_Toc34647182"/>
      <w:bookmarkStart w:id="38" w:name="_Toc34916731"/>
      <w:r>
        <w:t>Disclaimers</w:t>
      </w:r>
      <w:bookmarkEnd w:id="37"/>
      <w:bookmarkEnd w:id="38"/>
    </w:p>
    <w:p w:rsidR="002159A3" w:rsidRPr="00B77A13" w:rsidRDefault="002159A3" w:rsidP="002159A3">
      <w:pPr>
        <w:overflowPunct/>
        <w:contextualSpacing/>
        <w:textAlignment w:val="auto"/>
        <w:rPr>
          <w:rFonts w:asciiTheme="minorHAnsi" w:hAnsiTheme="minorHAnsi"/>
          <w:sz w:val="22"/>
          <w:szCs w:val="22"/>
        </w:rPr>
      </w:pPr>
      <w:r w:rsidRPr="00B77A13">
        <w:rPr>
          <w:rFonts w:asciiTheme="minorHAnsi" w:hAnsiTheme="minorHAnsi"/>
          <w:sz w:val="22"/>
          <w:szCs w:val="22"/>
        </w:rPr>
        <w:t xml:space="preserve">This information is issued by Trust Management, the manager of the Funds. If </w:t>
      </w:r>
      <w:r w:rsidR="00970AC6" w:rsidRPr="00B77A13">
        <w:rPr>
          <w:rFonts w:asciiTheme="minorHAnsi" w:hAnsiTheme="minorHAnsi"/>
          <w:sz w:val="22"/>
          <w:szCs w:val="22"/>
        </w:rPr>
        <w:t>investors</w:t>
      </w:r>
      <w:r w:rsidRPr="00B77A13">
        <w:rPr>
          <w:rFonts w:asciiTheme="minorHAnsi" w:hAnsiTheme="minorHAnsi"/>
          <w:sz w:val="22"/>
          <w:szCs w:val="22"/>
        </w:rPr>
        <w:t xml:space="preserve"> wish to make an application for units in the Funds </w:t>
      </w:r>
      <w:r w:rsidR="00970AC6" w:rsidRPr="00B77A13">
        <w:rPr>
          <w:rFonts w:asciiTheme="minorHAnsi" w:hAnsiTheme="minorHAnsi"/>
          <w:sz w:val="22"/>
          <w:szCs w:val="22"/>
        </w:rPr>
        <w:t xml:space="preserve">they </w:t>
      </w:r>
      <w:r w:rsidRPr="00B77A13">
        <w:rPr>
          <w:rFonts w:asciiTheme="minorHAnsi" w:hAnsiTheme="minorHAnsi"/>
          <w:sz w:val="22"/>
          <w:szCs w:val="22"/>
        </w:rPr>
        <w:t>should obtain a copy of the</w:t>
      </w:r>
      <w:r w:rsidR="0029766C" w:rsidRPr="00B77A13">
        <w:rPr>
          <w:rFonts w:asciiTheme="minorHAnsi" w:hAnsiTheme="minorHAnsi"/>
          <w:sz w:val="22"/>
          <w:szCs w:val="22"/>
        </w:rPr>
        <w:t xml:space="preserve"> </w:t>
      </w:r>
      <w:r w:rsidRPr="00B77A13">
        <w:rPr>
          <w:rFonts w:asciiTheme="minorHAnsi" w:hAnsiTheme="minorHAnsi"/>
          <w:sz w:val="22"/>
          <w:szCs w:val="22"/>
        </w:rPr>
        <w:t xml:space="preserve">current </w:t>
      </w:r>
      <w:r w:rsidR="0029766C" w:rsidRPr="00B77A13">
        <w:rPr>
          <w:rFonts w:asciiTheme="minorHAnsi" w:hAnsiTheme="minorHAnsi"/>
          <w:sz w:val="22"/>
          <w:szCs w:val="22"/>
        </w:rPr>
        <w:t>PDS</w:t>
      </w:r>
      <w:r w:rsidRPr="00B77A13">
        <w:rPr>
          <w:rFonts w:asciiTheme="minorHAnsi" w:hAnsiTheme="minorHAnsi"/>
          <w:sz w:val="22"/>
          <w:szCs w:val="22"/>
        </w:rPr>
        <w:t xml:space="preserve"> and consider it, </w:t>
      </w:r>
      <w:r w:rsidR="003D7DF5" w:rsidRPr="00B77A13">
        <w:rPr>
          <w:rFonts w:asciiTheme="minorHAnsi" w:hAnsiTheme="minorHAnsi"/>
          <w:sz w:val="22"/>
          <w:szCs w:val="22"/>
        </w:rPr>
        <w:t>together with the information contain in the offer register at</w:t>
      </w:r>
      <w:r w:rsidR="00976AAE" w:rsidRPr="00976AAE">
        <w:rPr>
          <w:rStyle w:val="Hyperlink"/>
          <w:rFonts w:asciiTheme="minorHAnsi" w:hAnsiTheme="minorHAnsi"/>
          <w:sz w:val="22"/>
          <w:szCs w:val="22"/>
          <w:u w:val="none"/>
        </w:rPr>
        <w:t xml:space="preserve"> </w:t>
      </w:r>
      <w:hyperlink r:id="rId21" w:history="1">
        <w:r w:rsidR="00976AAE" w:rsidRPr="00BE259D">
          <w:rPr>
            <w:rStyle w:val="Hyperlink"/>
            <w:rFonts w:asciiTheme="minorHAnsi" w:hAnsiTheme="minorHAnsi"/>
            <w:sz w:val="22"/>
            <w:szCs w:val="22"/>
          </w:rPr>
          <w:t>https://disclose-register.companiesoffice.govt.nz</w:t>
        </w:r>
      </w:hyperlink>
      <w:r w:rsidR="003D7DF5" w:rsidRPr="00B77A13">
        <w:rPr>
          <w:rFonts w:asciiTheme="minorHAnsi" w:hAnsiTheme="minorHAnsi"/>
          <w:sz w:val="22"/>
          <w:szCs w:val="22"/>
        </w:rPr>
        <w:t>,</w:t>
      </w:r>
      <w:r w:rsidR="007C4405">
        <w:rPr>
          <w:rFonts w:asciiTheme="minorHAnsi" w:hAnsiTheme="minorHAnsi"/>
          <w:sz w:val="22"/>
          <w:szCs w:val="22"/>
        </w:rPr>
        <w:t xml:space="preserve"> </w:t>
      </w:r>
      <w:r w:rsidRPr="00B77A13">
        <w:rPr>
          <w:rFonts w:asciiTheme="minorHAnsi" w:hAnsiTheme="minorHAnsi"/>
          <w:sz w:val="22"/>
          <w:szCs w:val="22"/>
        </w:rPr>
        <w:t>before making a</w:t>
      </w:r>
      <w:r w:rsidR="003D7DF5" w:rsidRPr="00B77A13">
        <w:rPr>
          <w:rFonts w:asciiTheme="minorHAnsi" w:hAnsiTheme="minorHAnsi"/>
          <w:sz w:val="22"/>
          <w:szCs w:val="22"/>
        </w:rPr>
        <w:t>ny</w:t>
      </w:r>
      <w:r w:rsidRPr="00B77A13">
        <w:rPr>
          <w:rFonts w:asciiTheme="minorHAnsi" w:hAnsiTheme="minorHAnsi"/>
          <w:sz w:val="22"/>
          <w:szCs w:val="22"/>
        </w:rPr>
        <w:t xml:space="preserve"> decision</w:t>
      </w:r>
      <w:r w:rsidR="003D7DF5" w:rsidRPr="00B77A13">
        <w:rPr>
          <w:rFonts w:asciiTheme="minorHAnsi" w:hAnsiTheme="minorHAnsi"/>
          <w:sz w:val="22"/>
          <w:szCs w:val="22"/>
        </w:rPr>
        <w:t xml:space="preserve"> to invest.</w:t>
      </w:r>
    </w:p>
    <w:p w:rsidR="003D7DF5" w:rsidRPr="00B77A13" w:rsidRDefault="003D7DF5" w:rsidP="002159A3">
      <w:pPr>
        <w:overflowPunct/>
        <w:contextualSpacing/>
        <w:textAlignment w:val="auto"/>
        <w:rPr>
          <w:rFonts w:asciiTheme="minorHAnsi" w:hAnsiTheme="minorHAnsi"/>
          <w:sz w:val="22"/>
          <w:szCs w:val="22"/>
        </w:rPr>
      </w:pPr>
    </w:p>
    <w:p w:rsidR="003D7DF5" w:rsidRPr="00B77A13" w:rsidRDefault="00FC7BF9" w:rsidP="002159A3">
      <w:pPr>
        <w:overflowPunct/>
        <w:contextualSpacing/>
        <w:textAlignment w:val="auto"/>
        <w:rPr>
          <w:rFonts w:asciiTheme="minorHAnsi" w:hAnsiTheme="minorHAnsi"/>
          <w:sz w:val="22"/>
          <w:szCs w:val="22"/>
          <w:highlight w:val="yellow"/>
        </w:rPr>
      </w:pPr>
      <w:r w:rsidRPr="00B77A13">
        <w:rPr>
          <w:rFonts w:asciiTheme="minorHAnsi" w:hAnsiTheme="minorHAnsi"/>
          <w:sz w:val="22"/>
          <w:szCs w:val="22"/>
        </w:rPr>
        <w:t>Where we have provided links to third party websites, such links are not an endorsement by us of any information, products or services provided on or via such websites. The use of such links is entirely at your own risk and we accept no responsibility or liability for the content, use or availability of such websites. We have not verified the truth, accuracy, reasonability, reliability or completeness of any content of such websites.</w:t>
      </w:r>
    </w:p>
    <w:p w:rsidR="00784025" w:rsidRPr="000C7723" w:rsidRDefault="00784025" w:rsidP="00912749">
      <w:pPr>
        <w:overflowPunct/>
        <w:contextualSpacing/>
        <w:textAlignment w:val="auto"/>
      </w:pPr>
    </w:p>
    <w:sectPr w:rsidR="00784025" w:rsidRPr="000C7723" w:rsidSect="00FA4C18">
      <w:headerReference w:type="even" r:id="rId22"/>
      <w:headerReference w:type="default" r:id="rId23"/>
      <w:footerReference w:type="even" r:id="rId24"/>
      <w:footerReference w:type="default" r:id="rId25"/>
      <w:headerReference w:type="first" r:id="rId26"/>
      <w:footerReference w:type="first" r:id="rId27"/>
      <w:pgSz w:w="11907" w:h="16840" w:code="9"/>
      <w:pgMar w:top="1276" w:right="708" w:bottom="993" w:left="993"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31D" w:rsidRDefault="00A2731D">
      <w:r>
        <w:separator/>
      </w:r>
    </w:p>
  </w:endnote>
  <w:endnote w:type="continuationSeparator" w:id="0">
    <w:p w:rsidR="00A2731D" w:rsidRDefault="00A2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heSans B4 SemiLight">
    <w:altName w:val="TheSans B4 Semi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552" w:rsidRDefault="004F6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552" w:rsidRDefault="004F6552" w:rsidP="0022339B">
    <w:pPr>
      <w:pStyle w:val="Footer"/>
      <w:spacing w:after="0"/>
      <w:rPr>
        <w:sz w:val="16"/>
        <w:szCs w:val="16"/>
      </w:rPr>
    </w:pPr>
  </w:p>
  <w:p w:rsidR="004F6552" w:rsidRDefault="004F65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552" w:rsidRDefault="004F6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31D" w:rsidRDefault="00A2731D">
      <w:r>
        <w:separator/>
      </w:r>
    </w:p>
  </w:footnote>
  <w:footnote w:type="continuationSeparator" w:id="0">
    <w:p w:rsidR="00A2731D" w:rsidRDefault="00A2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552" w:rsidRDefault="004F6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552" w:rsidRPr="0029766C" w:rsidRDefault="004F6552" w:rsidP="00012AE1">
    <w:pPr>
      <w:pStyle w:val="Header"/>
      <w:ind w:left="5040" w:firstLine="4320"/>
      <w:jc w:val="center"/>
      <w:rPr>
        <w:sz w:val="16"/>
        <w:szCs w:val="16"/>
      </w:rPr>
    </w:pPr>
    <w:r w:rsidRPr="0029766C">
      <w:rPr>
        <w:sz w:val="16"/>
        <w:szCs w:val="16"/>
      </w:rPr>
      <w:fldChar w:fldCharType="begin"/>
    </w:r>
    <w:r w:rsidRPr="0029766C">
      <w:rPr>
        <w:sz w:val="16"/>
        <w:szCs w:val="16"/>
      </w:rPr>
      <w:instrText xml:space="preserve"> PAGE   \* MERGEFORMAT </w:instrText>
    </w:r>
    <w:r w:rsidRPr="0029766C">
      <w:rPr>
        <w:sz w:val="16"/>
        <w:szCs w:val="16"/>
      </w:rPr>
      <w:fldChar w:fldCharType="separate"/>
    </w:r>
    <w:r w:rsidR="009D129D">
      <w:rPr>
        <w:noProof/>
        <w:sz w:val="16"/>
        <w:szCs w:val="16"/>
      </w:rPr>
      <w:t>19</w:t>
    </w:r>
    <w:r w:rsidRPr="0029766C">
      <w:rPr>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552" w:rsidRDefault="004F6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B6AC8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E5AE74A"/>
    <w:lvl w:ilvl="0">
      <w:start w:val="1"/>
      <w:numFmt w:val="bullet"/>
      <w:pStyle w:val="ListBullet"/>
      <w:lvlText w:val=""/>
      <w:lvlJc w:val="left"/>
      <w:pPr>
        <w:tabs>
          <w:tab w:val="num" w:pos="454"/>
        </w:tabs>
        <w:ind w:left="454" w:hanging="454"/>
      </w:pPr>
      <w:rPr>
        <w:rFonts w:ascii="Wingdings" w:hAnsi="Wingdings" w:hint="default"/>
        <w:sz w:val="22"/>
        <w:szCs w:val="22"/>
      </w:rPr>
    </w:lvl>
  </w:abstractNum>
  <w:abstractNum w:abstractNumId="2" w15:restartNumberingAfterBreak="0">
    <w:nsid w:val="FFFFFFFB"/>
    <w:multiLevelType w:val="multilevel"/>
    <w:tmpl w:val="021666A0"/>
    <w:lvl w:ilvl="0">
      <w:start w:val="1"/>
      <w:numFmt w:val="decimal"/>
      <w:pStyle w:val="Heading1"/>
      <w:lvlText w:val="%1."/>
      <w:lvlJc w:val="left"/>
      <w:pPr>
        <w:tabs>
          <w:tab w:val="num" w:pos="0"/>
        </w:tabs>
        <w:ind w:left="851" w:hanging="851"/>
      </w:pPr>
      <w:rPr>
        <w:rFonts w:hint="default"/>
        <w:b/>
        <w:i w:val="0"/>
        <w:color w:val="006600"/>
      </w:rPr>
    </w:lvl>
    <w:lvl w:ilvl="1">
      <w:start w:val="1"/>
      <w:numFmt w:val="lowerLetter"/>
      <w:lvlText w:val="(%2)"/>
      <w:lvlJc w:val="left"/>
      <w:pPr>
        <w:tabs>
          <w:tab w:val="num" w:pos="0"/>
        </w:tabs>
        <w:ind w:left="1418" w:hanging="567"/>
      </w:pPr>
      <w:rPr>
        <w:rFonts w:hint="default"/>
        <w:b w:val="0"/>
        <w:i w:val="0"/>
        <w:color w:val="auto"/>
      </w:rPr>
    </w:lvl>
    <w:lvl w:ilvl="2">
      <w:start w:val="1"/>
      <w:numFmt w:val="lowerRoman"/>
      <w:pStyle w:val="Heading3"/>
      <w:lvlText w:val="(%3)"/>
      <w:lvlJc w:val="left"/>
      <w:pPr>
        <w:tabs>
          <w:tab w:val="num" w:pos="0"/>
        </w:tabs>
        <w:ind w:left="1985" w:hanging="567"/>
      </w:pPr>
      <w:rPr>
        <w:rFonts w:hint="default"/>
        <w:b w:val="0"/>
        <w:i w:val="0"/>
        <w:color w:val="auto"/>
      </w:rPr>
    </w:lvl>
    <w:lvl w:ilvl="3">
      <w:start w:val="1"/>
      <w:numFmt w:val="upperLetter"/>
      <w:pStyle w:val="Heading4"/>
      <w:lvlText w:val="(%4)"/>
      <w:lvlJc w:val="left"/>
      <w:pPr>
        <w:tabs>
          <w:tab w:val="num" w:pos="0"/>
        </w:tabs>
        <w:ind w:left="2552" w:hanging="567"/>
      </w:pPr>
      <w:rPr>
        <w:rFonts w:hint="default"/>
      </w:rPr>
    </w:lvl>
    <w:lvl w:ilvl="4">
      <w:start w:val="1"/>
      <w:numFmt w:val="none"/>
      <w:pStyle w:val="Heading5"/>
      <w:lvlText w:val=""/>
      <w:lvlJc w:val="left"/>
      <w:pPr>
        <w:tabs>
          <w:tab w:val="num" w:pos="0"/>
        </w:tabs>
        <w:ind w:left="2552" w:hanging="567"/>
      </w:pPr>
      <w:rPr>
        <w:rFonts w:hint="default"/>
      </w:rPr>
    </w:lvl>
    <w:lvl w:ilvl="5">
      <w:start w:val="1"/>
      <w:numFmt w:val="none"/>
      <w:pStyle w:val="Heading6"/>
      <w:suff w:val="nothing"/>
      <w:lvlText w:val=""/>
      <w:lvlJc w:val="left"/>
      <w:pPr>
        <w:ind w:left="4287" w:hanging="709"/>
      </w:pPr>
      <w:rPr>
        <w:rFonts w:hint="default"/>
      </w:rPr>
    </w:lvl>
    <w:lvl w:ilvl="6">
      <w:start w:val="1"/>
      <w:numFmt w:val="none"/>
      <w:pStyle w:val="Heading7"/>
      <w:suff w:val="nothing"/>
      <w:lvlText w:val=""/>
      <w:lvlJc w:val="left"/>
      <w:pPr>
        <w:ind w:left="4996" w:hanging="709"/>
      </w:pPr>
      <w:rPr>
        <w:rFonts w:hint="default"/>
      </w:rPr>
    </w:lvl>
    <w:lvl w:ilvl="7">
      <w:start w:val="1"/>
      <w:numFmt w:val="none"/>
      <w:pStyle w:val="Heading8"/>
      <w:suff w:val="nothing"/>
      <w:lvlText w:val=""/>
      <w:lvlJc w:val="left"/>
      <w:pPr>
        <w:ind w:left="5705" w:hanging="709"/>
      </w:pPr>
      <w:rPr>
        <w:rFonts w:hint="default"/>
      </w:rPr>
    </w:lvl>
    <w:lvl w:ilvl="8">
      <w:start w:val="1"/>
      <w:numFmt w:val="none"/>
      <w:pStyle w:val="Heading9"/>
      <w:suff w:val="nothing"/>
      <w:lvlText w:val=""/>
      <w:lvlJc w:val="left"/>
      <w:pPr>
        <w:ind w:left="6414" w:hanging="709"/>
      </w:pPr>
      <w:rPr>
        <w:rFonts w:hint="default"/>
      </w:rPr>
    </w:lvl>
  </w:abstractNum>
  <w:abstractNum w:abstractNumId="3" w15:restartNumberingAfterBreak="0">
    <w:nsid w:val="03156BB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6026D3"/>
    <w:multiLevelType w:val="hybridMultilevel"/>
    <w:tmpl w:val="69A697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7D35515"/>
    <w:multiLevelType w:val="hybridMultilevel"/>
    <w:tmpl w:val="793C79A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6" w15:restartNumberingAfterBreak="0">
    <w:nsid w:val="09412307"/>
    <w:multiLevelType w:val="multilevel"/>
    <w:tmpl w:val="169842E2"/>
    <w:lvl w:ilvl="0">
      <w:start w:val="1"/>
      <w:numFmt w:val="decimal"/>
      <w:lvlText w:val="%1."/>
      <w:lvlJc w:val="left"/>
      <w:pPr>
        <w:tabs>
          <w:tab w:val="num" w:pos="0"/>
        </w:tabs>
        <w:ind w:left="851" w:hanging="851"/>
      </w:pPr>
      <w:rPr>
        <w:rFonts w:hint="default"/>
        <w:b w:val="0"/>
        <w:i w:val="0"/>
        <w:color w:val="auto"/>
      </w:rPr>
    </w:lvl>
    <w:lvl w:ilvl="1">
      <w:start w:val="1"/>
      <w:numFmt w:val="lowerLetter"/>
      <w:lvlText w:val="(%2)"/>
      <w:lvlJc w:val="left"/>
      <w:pPr>
        <w:tabs>
          <w:tab w:val="num" w:pos="0"/>
        </w:tabs>
        <w:ind w:left="1418" w:hanging="567"/>
      </w:pPr>
      <w:rPr>
        <w:rFonts w:hint="default"/>
        <w:b w:val="0"/>
        <w:i w:val="0"/>
        <w:color w:val="auto"/>
      </w:rPr>
    </w:lvl>
    <w:lvl w:ilvl="2">
      <w:start w:val="1"/>
      <w:numFmt w:val="lowerRoman"/>
      <w:lvlText w:val="(%3)"/>
      <w:lvlJc w:val="left"/>
      <w:pPr>
        <w:tabs>
          <w:tab w:val="num" w:pos="0"/>
        </w:tabs>
        <w:ind w:left="1985" w:hanging="567"/>
      </w:pPr>
      <w:rPr>
        <w:rFonts w:hint="default"/>
        <w:b w:val="0"/>
        <w:i w:val="0"/>
        <w:color w:val="auto"/>
      </w:rPr>
    </w:lvl>
    <w:lvl w:ilvl="3">
      <w:start w:val="1"/>
      <w:numFmt w:val="upperLetter"/>
      <w:lvlText w:val="(%4)"/>
      <w:lvlJc w:val="left"/>
      <w:pPr>
        <w:tabs>
          <w:tab w:val="num" w:pos="0"/>
        </w:tabs>
        <w:ind w:left="2552" w:hanging="567"/>
      </w:pPr>
      <w:rPr>
        <w:rFonts w:hint="default"/>
      </w:rPr>
    </w:lvl>
    <w:lvl w:ilvl="4">
      <w:start w:val="1"/>
      <w:numFmt w:val="upperLetter"/>
      <w:lvlText w:val="(%5)"/>
      <w:lvlJc w:val="left"/>
      <w:pPr>
        <w:tabs>
          <w:tab w:val="num" w:pos="0"/>
        </w:tabs>
        <w:ind w:left="2552" w:hanging="567"/>
      </w:pPr>
      <w:rPr>
        <w:rFonts w:hint="default"/>
      </w:rPr>
    </w:lvl>
    <w:lvl w:ilvl="5">
      <w:start w:val="1"/>
      <w:numFmt w:val="none"/>
      <w:suff w:val="nothing"/>
      <w:lvlText w:val=""/>
      <w:lvlJc w:val="left"/>
      <w:pPr>
        <w:ind w:left="4287" w:hanging="709"/>
      </w:pPr>
      <w:rPr>
        <w:rFonts w:hint="default"/>
      </w:rPr>
    </w:lvl>
    <w:lvl w:ilvl="6">
      <w:start w:val="1"/>
      <w:numFmt w:val="none"/>
      <w:suff w:val="nothing"/>
      <w:lvlText w:val=""/>
      <w:lvlJc w:val="left"/>
      <w:pPr>
        <w:ind w:left="4996" w:hanging="709"/>
      </w:pPr>
      <w:rPr>
        <w:rFonts w:hint="default"/>
      </w:rPr>
    </w:lvl>
    <w:lvl w:ilvl="7">
      <w:start w:val="1"/>
      <w:numFmt w:val="none"/>
      <w:suff w:val="nothing"/>
      <w:lvlText w:val=""/>
      <w:lvlJc w:val="left"/>
      <w:pPr>
        <w:ind w:left="5705" w:hanging="709"/>
      </w:pPr>
      <w:rPr>
        <w:rFonts w:hint="default"/>
      </w:rPr>
    </w:lvl>
    <w:lvl w:ilvl="8">
      <w:start w:val="1"/>
      <w:numFmt w:val="none"/>
      <w:suff w:val="nothing"/>
      <w:lvlText w:val=""/>
      <w:lvlJc w:val="left"/>
      <w:pPr>
        <w:ind w:left="6414" w:hanging="709"/>
      </w:pPr>
      <w:rPr>
        <w:rFonts w:hint="default"/>
      </w:rPr>
    </w:lvl>
  </w:abstractNum>
  <w:abstractNum w:abstractNumId="7" w15:restartNumberingAfterBreak="0">
    <w:nsid w:val="09FA7FCB"/>
    <w:multiLevelType w:val="hybridMultilevel"/>
    <w:tmpl w:val="4378DD5C"/>
    <w:lvl w:ilvl="0" w:tplc="2E9A4DBA">
      <w:start w:val="31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CCA4833"/>
    <w:multiLevelType w:val="multilevel"/>
    <w:tmpl w:val="E7322F48"/>
    <w:lvl w:ilvl="0">
      <w:start w:val="1"/>
      <w:numFmt w:val="decimal"/>
      <w:lvlText w:val="%1."/>
      <w:lvlJc w:val="left"/>
      <w:pPr>
        <w:tabs>
          <w:tab w:val="num" w:pos="0"/>
        </w:tabs>
        <w:ind w:left="851" w:hanging="851"/>
      </w:pPr>
      <w:rPr>
        <w:rFonts w:hint="default"/>
        <w:b w:val="0"/>
        <w:i w:val="0"/>
        <w:color w:val="auto"/>
      </w:rPr>
    </w:lvl>
    <w:lvl w:ilvl="1">
      <w:start w:val="1"/>
      <w:numFmt w:val="lowerLetter"/>
      <w:lvlText w:val="(%2)"/>
      <w:lvlJc w:val="left"/>
      <w:pPr>
        <w:tabs>
          <w:tab w:val="num" w:pos="0"/>
        </w:tabs>
        <w:ind w:left="851" w:hanging="851"/>
      </w:pPr>
      <w:rPr>
        <w:rFonts w:hint="default"/>
        <w:b w:val="0"/>
        <w:i w:val="0"/>
        <w:color w:val="auto"/>
      </w:rPr>
    </w:lvl>
    <w:lvl w:ilvl="2">
      <w:start w:val="1"/>
      <w:numFmt w:val="lowerRoman"/>
      <w:lvlText w:val="(%3)"/>
      <w:lvlJc w:val="left"/>
      <w:pPr>
        <w:tabs>
          <w:tab w:val="num" w:pos="0"/>
        </w:tabs>
        <w:ind w:left="1418" w:hanging="567"/>
      </w:pPr>
      <w:rPr>
        <w:rFonts w:hint="default"/>
        <w:b w:val="0"/>
        <w:i w:val="0"/>
        <w:color w:val="auto"/>
      </w:rPr>
    </w:lvl>
    <w:lvl w:ilvl="3">
      <w:start w:val="1"/>
      <w:numFmt w:val="upperLetter"/>
      <w:lvlText w:val="(%4)"/>
      <w:lvlJc w:val="left"/>
      <w:pPr>
        <w:tabs>
          <w:tab w:val="num" w:pos="0"/>
        </w:tabs>
        <w:ind w:left="1985" w:hanging="567"/>
      </w:pPr>
      <w:rPr>
        <w:rFonts w:hint="default"/>
      </w:rPr>
    </w:lvl>
    <w:lvl w:ilvl="4">
      <w:start w:val="1"/>
      <w:numFmt w:val="upperLetter"/>
      <w:lvlText w:val="(%5)"/>
      <w:lvlJc w:val="left"/>
      <w:pPr>
        <w:tabs>
          <w:tab w:val="num" w:pos="0"/>
        </w:tabs>
        <w:ind w:left="2552" w:hanging="567"/>
      </w:pPr>
      <w:rPr>
        <w:rFonts w:hint="default"/>
      </w:rPr>
    </w:lvl>
    <w:lvl w:ilvl="5">
      <w:start w:val="1"/>
      <w:numFmt w:val="none"/>
      <w:suff w:val="nothing"/>
      <w:lvlText w:val=""/>
      <w:lvlJc w:val="left"/>
      <w:pPr>
        <w:ind w:left="4287" w:hanging="709"/>
      </w:pPr>
      <w:rPr>
        <w:rFonts w:hint="default"/>
      </w:rPr>
    </w:lvl>
    <w:lvl w:ilvl="6">
      <w:start w:val="1"/>
      <w:numFmt w:val="none"/>
      <w:suff w:val="nothing"/>
      <w:lvlText w:val=""/>
      <w:lvlJc w:val="left"/>
      <w:pPr>
        <w:ind w:left="4996" w:hanging="709"/>
      </w:pPr>
      <w:rPr>
        <w:rFonts w:hint="default"/>
      </w:rPr>
    </w:lvl>
    <w:lvl w:ilvl="7">
      <w:start w:val="1"/>
      <w:numFmt w:val="none"/>
      <w:suff w:val="nothing"/>
      <w:lvlText w:val=""/>
      <w:lvlJc w:val="left"/>
      <w:pPr>
        <w:ind w:left="5705" w:hanging="709"/>
      </w:pPr>
      <w:rPr>
        <w:rFonts w:hint="default"/>
      </w:rPr>
    </w:lvl>
    <w:lvl w:ilvl="8">
      <w:start w:val="1"/>
      <w:numFmt w:val="none"/>
      <w:suff w:val="nothing"/>
      <w:lvlText w:val=""/>
      <w:lvlJc w:val="left"/>
      <w:pPr>
        <w:ind w:left="6414" w:hanging="709"/>
      </w:pPr>
      <w:rPr>
        <w:rFonts w:hint="default"/>
      </w:rPr>
    </w:lvl>
  </w:abstractNum>
  <w:abstractNum w:abstractNumId="9" w15:restartNumberingAfterBreak="0">
    <w:nsid w:val="0FE163DA"/>
    <w:multiLevelType w:val="hybridMultilevel"/>
    <w:tmpl w:val="D13ECF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02E64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81B6A55"/>
    <w:multiLevelType w:val="multilevel"/>
    <w:tmpl w:val="4B8EE834"/>
    <w:lvl w:ilvl="0">
      <w:start w:val="1"/>
      <w:numFmt w:val="decimal"/>
      <w:lvlText w:val="%1."/>
      <w:legacy w:legacy="1" w:legacySpace="0" w:legacyIndent="720"/>
      <w:lvlJc w:val="left"/>
      <w:pPr>
        <w:ind w:left="720" w:hanging="720"/>
      </w:pPr>
      <w:rPr>
        <w:b w:val="0"/>
        <w:i w:val="0"/>
        <w:color w:val="FF00FF"/>
      </w:rPr>
    </w:lvl>
    <w:lvl w:ilvl="1">
      <w:start w:val="1"/>
      <w:numFmt w:val="lowerLetter"/>
      <w:lvlText w:val="(%2)"/>
      <w:legacy w:legacy="1" w:legacySpace="0" w:legacyIndent="720"/>
      <w:lvlJc w:val="left"/>
      <w:pPr>
        <w:ind w:left="1440" w:hanging="720"/>
      </w:pPr>
      <w:rPr>
        <w:b w:val="0"/>
        <w:i w:val="0"/>
        <w:color w:val="FF00FF"/>
      </w:rPr>
    </w:lvl>
    <w:lvl w:ilvl="2">
      <w:start w:val="1"/>
      <w:numFmt w:val="lowerRoman"/>
      <w:lvlText w:val="(%3)"/>
      <w:legacy w:legacy="1" w:legacySpace="0" w:legacyIndent="720"/>
      <w:lvlJc w:val="left"/>
      <w:pPr>
        <w:ind w:left="2160" w:hanging="720"/>
      </w:pPr>
      <w:rPr>
        <w:b w:val="0"/>
        <w:i w:val="0"/>
        <w:color w:val="FF00FF"/>
      </w:rPr>
    </w:lvl>
    <w:lvl w:ilvl="3">
      <w:start w:val="1"/>
      <w:numFmt w:val="none"/>
      <w:suff w:val="nothing"/>
      <w:lvlText w:val=""/>
      <w:lvlJc w:val="left"/>
      <w:pPr>
        <w:ind w:left="2869" w:hanging="709"/>
      </w:pPr>
    </w:lvl>
    <w:lvl w:ilvl="4">
      <w:start w:val="1"/>
      <w:numFmt w:val="none"/>
      <w:suff w:val="nothing"/>
      <w:lvlText w:val=""/>
      <w:lvlJc w:val="left"/>
      <w:pPr>
        <w:ind w:left="3578" w:hanging="709"/>
      </w:pPr>
    </w:lvl>
    <w:lvl w:ilvl="5">
      <w:start w:val="1"/>
      <w:numFmt w:val="none"/>
      <w:suff w:val="nothing"/>
      <w:lvlText w:val=""/>
      <w:lvlJc w:val="left"/>
      <w:pPr>
        <w:ind w:left="4287" w:hanging="709"/>
      </w:pPr>
    </w:lvl>
    <w:lvl w:ilvl="6">
      <w:start w:val="1"/>
      <w:numFmt w:val="none"/>
      <w:suff w:val="nothing"/>
      <w:lvlText w:val=""/>
      <w:lvlJc w:val="left"/>
      <w:pPr>
        <w:ind w:left="4996" w:hanging="709"/>
      </w:pPr>
    </w:lvl>
    <w:lvl w:ilvl="7">
      <w:start w:val="1"/>
      <w:numFmt w:val="none"/>
      <w:suff w:val="nothing"/>
      <w:lvlText w:val=""/>
      <w:lvlJc w:val="left"/>
      <w:pPr>
        <w:ind w:left="5705" w:hanging="709"/>
      </w:pPr>
    </w:lvl>
    <w:lvl w:ilvl="8">
      <w:start w:val="1"/>
      <w:numFmt w:val="none"/>
      <w:suff w:val="nothing"/>
      <w:lvlText w:val=""/>
      <w:lvlJc w:val="left"/>
      <w:pPr>
        <w:ind w:left="6414" w:hanging="709"/>
      </w:pPr>
    </w:lvl>
  </w:abstractNum>
  <w:abstractNum w:abstractNumId="12" w15:restartNumberingAfterBreak="0">
    <w:nsid w:val="1B054614"/>
    <w:multiLevelType w:val="multilevel"/>
    <w:tmpl w:val="61B6D87E"/>
    <w:lvl w:ilvl="0">
      <w:start w:val="1"/>
      <w:numFmt w:val="decimal"/>
      <w:lvlText w:val="%1."/>
      <w:lvlJc w:val="left"/>
      <w:pPr>
        <w:tabs>
          <w:tab w:val="num" w:pos="0"/>
        </w:tabs>
        <w:ind w:left="851" w:hanging="851"/>
      </w:pPr>
      <w:rPr>
        <w:rFonts w:hint="default"/>
        <w:b/>
        <w:i w:val="0"/>
        <w:color w:val="auto"/>
      </w:rPr>
    </w:lvl>
    <w:lvl w:ilvl="1">
      <w:start w:val="1"/>
      <w:numFmt w:val="decimal"/>
      <w:lvlText w:val="%1.%2"/>
      <w:lvlJc w:val="left"/>
      <w:pPr>
        <w:tabs>
          <w:tab w:val="num" w:pos="0"/>
        </w:tabs>
        <w:ind w:left="851" w:hanging="851"/>
      </w:pPr>
      <w:rPr>
        <w:rFonts w:hint="default"/>
        <w:b w:val="0"/>
        <w:i w:val="0"/>
        <w:color w:val="auto"/>
      </w:rPr>
    </w:lvl>
    <w:lvl w:ilvl="2">
      <w:start w:val="1"/>
      <w:numFmt w:val="lowerLetter"/>
      <w:lvlText w:val="(%3)"/>
      <w:lvlJc w:val="left"/>
      <w:pPr>
        <w:tabs>
          <w:tab w:val="num" w:pos="0"/>
        </w:tabs>
        <w:ind w:left="1418" w:hanging="567"/>
      </w:pPr>
      <w:rPr>
        <w:rFonts w:hint="default"/>
        <w:b w:val="0"/>
        <w:i w:val="0"/>
        <w:color w:val="auto"/>
      </w:rPr>
    </w:lvl>
    <w:lvl w:ilvl="3">
      <w:start w:val="1"/>
      <w:numFmt w:val="lowerRoman"/>
      <w:suff w:val="nothing"/>
      <w:lvlText w:val="(%4)"/>
      <w:lvlJc w:val="left"/>
      <w:pPr>
        <w:ind w:left="1985" w:hanging="567"/>
      </w:pPr>
      <w:rPr>
        <w:rFonts w:hint="default"/>
      </w:rPr>
    </w:lvl>
    <w:lvl w:ilvl="4">
      <w:start w:val="1"/>
      <w:numFmt w:val="upperLetter"/>
      <w:suff w:val="nothing"/>
      <w:lvlText w:val="(%5)"/>
      <w:lvlJc w:val="left"/>
      <w:pPr>
        <w:ind w:left="2552" w:hanging="567"/>
      </w:pPr>
      <w:rPr>
        <w:rFonts w:hint="default"/>
      </w:rPr>
    </w:lvl>
    <w:lvl w:ilvl="5">
      <w:start w:val="1"/>
      <w:numFmt w:val="none"/>
      <w:suff w:val="nothing"/>
      <w:lvlText w:val=""/>
      <w:lvlJc w:val="left"/>
      <w:pPr>
        <w:ind w:left="4287" w:hanging="709"/>
      </w:pPr>
      <w:rPr>
        <w:rFonts w:hint="default"/>
      </w:rPr>
    </w:lvl>
    <w:lvl w:ilvl="6">
      <w:start w:val="1"/>
      <w:numFmt w:val="none"/>
      <w:suff w:val="nothing"/>
      <w:lvlText w:val=""/>
      <w:lvlJc w:val="left"/>
      <w:pPr>
        <w:ind w:left="4996" w:hanging="709"/>
      </w:pPr>
      <w:rPr>
        <w:rFonts w:hint="default"/>
      </w:rPr>
    </w:lvl>
    <w:lvl w:ilvl="7">
      <w:start w:val="1"/>
      <w:numFmt w:val="none"/>
      <w:suff w:val="nothing"/>
      <w:lvlText w:val=""/>
      <w:lvlJc w:val="left"/>
      <w:pPr>
        <w:ind w:left="5705" w:hanging="709"/>
      </w:pPr>
      <w:rPr>
        <w:rFonts w:hint="default"/>
      </w:rPr>
    </w:lvl>
    <w:lvl w:ilvl="8">
      <w:start w:val="1"/>
      <w:numFmt w:val="none"/>
      <w:suff w:val="nothing"/>
      <w:lvlText w:val=""/>
      <w:lvlJc w:val="left"/>
      <w:pPr>
        <w:ind w:left="6414" w:hanging="709"/>
      </w:pPr>
      <w:rPr>
        <w:rFonts w:hint="default"/>
      </w:rPr>
    </w:lvl>
  </w:abstractNum>
  <w:abstractNum w:abstractNumId="13" w15:restartNumberingAfterBreak="0">
    <w:nsid w:val="23BD51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CB679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ED2657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EE548EA"/>
    <w:multiLevelType w:val="hybridMultilevel"/>
    <w:tmpl w:val="A4F60A9C"/>
    <w:lvl w:ilvl="0" w:tplc="788C2C82">
      <w:start w:val="1"/>
      <w:numFmt w:val="decimal"/>
      <w:pStyle w:val="CT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2BC0DAF"/>
    <w:multiLevelType w:val="multilevel"/>
    <w:tmpl w:val="90908402"/>
    <w:lvl w:ilvl="0">
      <w:start w:val="1"/>
      <w:numFmt w:val="decimal"/>
      <w:lvlText w:val="%1."/>
      <w:lvlJc w:val="left"/>
      <w:pPr>
        <w:tabs>
          <w:tab w:val="num" w:pos="0"/>
        </w:tabs>
        <w:ind w:left="851" w:hanging="851"/>
      </w:pPr>
      <w:rPr>
        <w:rFonts w:hint="default"/>
        <w:b/>
        <w:i w:val="0"/>
        <w:color w:val="auto"/>
      </w:rPr>
    </w:lvl>
    <w:lvl w:ilvl="1">
      <w:start w:val="1"/>
      <w:numFmt w:val="lowerLetter"/>
      <w:lvlText w:val="(%2)"/>
      <w:lvlJc w:val="left"/>
      <w:pPr>
        <w:tabs>
          <w:tab w:val="num" w:pos="0"/>
        </w:tabs>
        <w:ind w:left="851" w:hanging="851"/>
      </w:pPr>
      <w:rPr>
        <w:rFonts w:hint="default"/>
        <w:b w:val="0"/>
        <w:i w:val="0"/>
        <w:color w:val="auto"/>
      </w:rPr>
    </w:lvl>
    <w:lvl w:ilvl="2">
      <w:start w:val="1"/>
      <w:numFmt w:val="lowerRoman"/>
      <w:lvlText w:val="(%3)"/>
      <w:lvlJc w:val="left"/>
      <w:pPr>
        <w:tabs>
          <w:tab w:val="num" w:pos="0"/>
        </w:tabs>
        <w:ind w:left="1418" w:hanging="567"/>
      </w:pPr>
      <w:rPr>
        <w:rFonts w:hint="default"/>
        <w:b w:val="0"/>
        <w:i w:val="0"/>
        <w:color w:val="auto"/>
      </w:rPr>
    </w:lvl>
    <w:lvl w:ilvl="3">
      <w:start w:val="1"/>
      <w:numFmt w:val="none"/>
      <w:suff w:val="nothing"/>
      <w:lvlText w:val=""/>
      <w:lvlJc w:val="left"/>
      <w:pPr>
        <w:ind w:left="1985" w:hanging="567"/>
      </w:pPr>
      <w:rPr>
        <w:rFonts w:hint="default"/>
      </w:rPr>
    </w:lvl>
    <w:lvl w:ilvl="4">
      <w:start w:val="1"/>
      <w:numFmt w:val="none"/>
      <w:suff w:val="nothing"/>
      <w:lvlText w:val=""/>
      <w:lvlJc w:val="left"/>
      <w:pPr>
        <w:ind w:left="2552" w:hanging="567"/>
      </w:pPr>
      <w:rPr>
        <w:rFonts w:hint="default"/>
      </w:rPr>
    </w:lvl>
    <w:lvl w:ilvl="5">
      <w:start w:val="1"/>
      <w:numFmt w:val="none"/>
      <w:suff w:val="nothing"/>
      <w:lvlText w:val=""/>
      <w:lvlJc w:val="left"/>
      <w:pPr>
        <w:ind w:left="4287" w:hanging="709"/>
      </w:pPr>
      <w:rPr>
        <w:rFonts w:hint="default"/>
      </w:rPr>
    </w:lvl>
    <w:lvl w:ilvl="6">
      <w:start w:val="1"/>
      <w:numFmt w:val="none"/>
      <w:suff w:val="nothing"/>
      <w:lvlText w:val=""/>
      <w:lvlJc w:val="left"/>
      <w:pPr>
        <w:ind w:left="4996" w:hanging="709"/>
      </w:pPr>
      <w:rPr>
        <w:rFonts w:hint="default"/>
      </w:rPr>
    </w:lvl>
    <w:lvl w:ilvl="7">
      <w:start w:val="1"/>
      <w:numFmt w:val="none"/>
      <w:suff w:val="nothing"/>
      <w:lvlText w:val=""/>
      <w:lvlJc w:val="left"/>
      <w:pPr>
        <w:ind w:left="5705" w:hanging="709"/>
      </w:pPr>
      <w:rPr>
        <w:rFonts w:hint="default"/>
      </w:rPr>
    </w:lvl>
    <w:lvl w:ilvl="8">
      <w:start w:val="1"/>
      <w:numFmt w:val="none"/>
      <w:suff w:val="nothing"/>
      <w:lvlText w:val=""/>
      <w:lvlJc w:val="left"/>
      <w:pPr>
        <w:ind w:left="6414" w:hanging="709"/>
      </w:pPr>
      <w:rPr>
        <w:rFonts w:hint="default"/>
      </w:rPr>
    </w:lvl>
  </w:abstractNum>
  <w:abstractNum w:abstractNumId="18" w15:restartNumberingAfterBreak="0">
    <w:nsid w:val="4378216A"/>
    <w:multiLevelType w:val="hybridMultilevel"/>
    <w:tmpl w:val="25B87C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9EF2892"/>
    <w:multiLevelType w:val="hybridMultilevel"/>
    <w:tmpl w:val="36FE36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B6B025A"/>
    <w:multiLevelType w:val="hybridMultilevel"/>
    <w:tmpl w:val="724E83FE"/>
    <w:lvl w:ilvl="0" w:tplc="5E0427AC">
      <w:start w:val="191"/>
      <w:numFmt w:val="bullet"/>
      <w:lvlText w:val="-"/>
      <w:lvlJc w:val="left"/>
      <w:pPr>
        <w:ind w:left="720" w:hanging="360"/>
      </w:pPr>
      <w:rPr>
        <w:rFonts w:ascii="Arial" w:eastAsia="Times New Roman"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D004BD9"/>
    <w:multiLevelType w:val="hybridMultilevel"/>
    <w:tmpl w:val="9C305D70"/>
    <w:lvl w:ilvl="0" w:tplc="512ED186">
      <w:numFmt w:val="bullet"/>
      <w:lvlText w:val="-"/>
      <w:lvlJc w:val="left"/>
      <w:pPr>
        <w:ind w:left="1080" w:hanging="360"/>
      </w:pPr>
      <w:rPr>
        <w:rFonts w:ascii="Arial" w:eastAsia="Times New Roman"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4D142BE9"/>
    <w:multiLevelType w:val="hybridMultilevel"/>
    <w:tmpl w:val="379493B8"/>
    <w:lvl w:ilvl="0" w:tplc="61600746">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FAB142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05B02BE"/>
    <w:multiLevelType w:val="hybridMultilevel"/>
    <w:tmpl w:val="83003382"/>
    <w:lvl w:ilvl="0" w:tplc="61FA2A20">
      <w:numFmt w:val="bullet"/>
      <w:lvlText w:val="-"/>
      <w:lvlJc w:val="left"/>
      <w:pPr>
        <w:ind w:left="360" w:hanging="360"/>
      </w:pPr>
      <w:rPr>
        <w:rFonts w:ascii="Arial" w:eastAsiaTheme="minorHAnsi" w:hAnsi="Arial" w:cs="Aria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5" w15:restartNumberingAfterBreak="0">
    <w:nsid w:val="55E2118A"/>
    <w:multiLevelType w:val="hybridMultilevel"/>
    <w:tmpl w:val="FCF021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A801AAC"/>
    <w:multiLevelType w:val="hybridMultilevel"/>
    <w:tmpl w:val="F7E0EF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2534764"/>
    <w:multiLevelType w:val="hybridMultilevel"/>
    <w:tmpl w:val="FDDEB3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BD51FB9"/>
    <w:multiLevelType w:val="hybridMultilevel"/>
    <w:tmpl w:val="7FAED678"/>
    <w:lvl w:ilvl="0" w:tplc="14090001">
      <w:start w:val="1"/>
      <w:numFmt w:val="bullet"/>
      <w:lvlText w:val=""/>
      <w:lvlJc w:val="left"/>
      <w:pPr>
        <w:ind w:left="840" w:hanging="360"/>
      </w:pPr>
      <w:rPr>
        <w:rFonts w:ascii="Symbol" w:hAnsi="Symbol" w:hint="default"/>
      </w:rPr>
    </w:lvl>
    <w:lvl w:ilvl="1" w:tplc="14090003" w:tentative="1">
      <w:start w:val="1"/>
      <w:numFmt w:val="bullet"/>
      <w:lvlText w:val="o"/>
      <w:lvlJc w:val="left"/>
      <w:pPr>
        <w:ind w:left="1560" w:hanging="360"/>
      </w:pPr>
      <w:rPr>
        <w:rFonts w:ascii="Courier New" w:hAnsi="Courier New" w:cs="Courier New" w:hint="default"/>
      </w:rPr>
    </w:lvl>
    <w:lvl w:ilvl="2" w:tplc="14090005" w:tentative="1">
      <w:start w:val="1"/>
      <w:numFmt w:val="bullet"/>
      <w:lvlText w:val=""/>
      <w:lvlJc w:val="left"/>
      <w:pPr>
        <w:ind w:left="2280" w:hanging="360"/>
      </w:pPr>
      <w:rPr>
        <w:rFonts w:ascii="Wingdings" w:hAnsi="Wingdings" w:hint="default"/>
      </w:rPr>
    </w:lvl>
    <w:lvl w:ilvl="3" w:tplc="14090001" w:tentative="1">
      <w:start w:val="1"/>
      <w:numFmt w:val="bullet"/>
      <w:lvlText w:val=""/>
      <w:lvlJc w:val="left"/>
      <w:pPr>
        <w:ind w:left="3000" w:hanging="360"/>
      </w:pPr>
      <w:rPr>
        <w:rFonts w:ascii="Symbol" w:hAnsi="Symbol" w:hint="default"/>
      </w:rPr>
    </w:lvl>
    <w:lvl w:ilvl="4" w:tplc="14090003" w:tentative="1">
      <w:start w:val="1"/>
      <w:numFmt w:val="bullet"/>
      <w:lvlText w:val="o"/>
      <w:lvlJc w:val="left"/>
      <w:pPr>
        <w:ind w:left="3720" w:hanging="360"/>
      </w:pPr>
      <w:rPr>
        <w:rFonts w:ascii="Courier New" w:hAnsi="Courier New" w:cs="Courier New" w:hint="default"/>
      </w:rPr>
    </w:lvl>
    <w:lvl w:ilvl="5" w:tplc="14090005" w:tentative="1">
      <w:start w:val="1"/>
      <w:numFmt w:val="bullet"/>
      <w:lvlText w:val=""/>
      <w:lvlJc w:val="left"/>
      <w:pPr>
        <w:ind w:left="4440" w:hanging="360"/>
      </w:pPr>
      <w:rPr>
        <w:rFonts w:ascii="Wingdings" w:hAnsi="Wingdings" w:hint="default"/>
      </w:rPr>
    </w:lvl>
    <w:lvl w:ilvl="6" w:tplc="14090001" w:tentative="1">
      <w:start w:val="1"/>
      <w:numFmt w:val="bullet"/>
      <w:lvlText w:val=""/>
      <w:lvlJc w:val="left"/>
      <w:pPr>
        <w:ind w:left="5160" w:hanging="360"/>
      </w:pPr>
      <w:rPr>
        <w:rFonts w:ascii="Symbol" w:hAnsi="Symbol" w:hint="default"/>
      </w:rPr>
    </w:lvl>
    <w:lvl w:ilvl="7" w:tplc="14090003" w:tentative="1">
      <w:start w:val="1"/>
      <w:numFmt w:val="bullet"/>
      <w:lvlText w:val="o"/>
      <w:lvlJc w:val="left"/>
      <w:pPr>
        <w:ind w:left="5880" w:hanging="360"/>
      </w:pPr>
      <w:rPr>
        <w:rFonts w:ascii="Courier New" w:hAnsi="Courier New" w:cs="Courier New" w:hint="default"/>
      </w:rPr>
    </w:lvl>
    <w:lvl w:ilvl="8" w:tplc="14090005" w:tentative="1">
      <w:start w:val="1"/>
      <w:numFmt w:val="bullet"/>
      <w:lvlText w:val=""/>
      <w:lvlJc w:val="left"/>
      <w:pPr>
        <w:ind w:left="6600" w:hanging="360"/>
      </w:pPr>
      <w:rPr>
        <w:rFonts w:ascii="Wingdings" w:hAnsi="Wingdings" w:hint="default"/>
      </w:rPr>
    </w:lvl>
  </w:abstractNum>
  <w:abstractNum w:abstractNumId="29" w15:restartNumberingAfterBreak="0">
    <w:nsid w:val="77890BB1"/>
    <w:multiLevelType w:val="hybridMultilevel"/>
    <w:tmpl w:val="DF0C656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A6D6AAD"/>
    <w:multiLevelType w:val="multilevel"/>
    <w:tmpl w:val="8E46AFC4"/>
    <w:lvl w:ilvl="0">
      <w:start w:val="1"/>
      <w:numFmt w:val="decimal"/>
      <w:lvlText w:val="%1."/>
      <w:lvlJc w:val="left"/>
      <w:pPr>
        <w:tabs>
          <w:tab w:val="num" w:pos="0"/>
        </w:tabs>
        <w:ind w:left="720" w:hanging="720"/>
      </w:pPr>
      <w:rPr>
        <w:rFonts w:hint="default"/>
        <w:b w:val="0"/>
        <w:i w:val="0"/>
        <w:color w:val="auto"/>
      </w:rPr>
    </w:lvl>
    <w:lvl w:ilvl="1">
      <w:start w:val="1"/>
      <w:numFmt w:val="lowerLetter"/>
      <w:lvlText w:val="(%2)"/>
      <w:lvlJc w:val="left"/>
      <w:pPr>
        <w:tabs>
          <w:tab w:val="num" w:pos="0"/>
        </w:tabs>
        <w:ind w:left="1440" w:hanging="720"/>
      </w:pPr>
      <w:rPr>
        <w:rFonts w:hint="default"/>
        <w:b w:val="0"/>
        <w:i w:val="0"/>
        <w:color w:val="auto"/>
      </w:rPr>
    </w:lvl>
    <w:lvl w:ilvl="2">
      <w:start w:val="1"/>
      <w:numFmt w:val="lowerRoman"/>
      <w:lvlText w:val="(%3)"/>
      <w:lvlJc w:val="left"/>
      <w:pPr>
        <w:tabs>
          <w:tab w:val="num" w:pos="0"/>
        </w:tabs>
        <w:ind w:left="2160" w:hanging="720"/>
      </w:pPr>
      <w:rPr>
        <w:rFonts w:hint="default"/>
        <w:b w:val="0"/>
        <w:i w:val="0"/>
        <w:color w:val="auto"/>
      </w:rPr>
    </w:lvl>
    <w:lvl w:ilvl="3">
      <w:start w:val="1"/>
      <w:numFmt w:val="none"/>
      <w:suff w:val="nothing"/>
      <w:lvlText w:val=""/>
      <w:lvlJc w:val="left"/>
      <w:pPr>
        <w:ind w:left="2869" w:hanging="709"/>
      </w:pPr>
      <w:rPr>
        <w:rFonts w:hint="default"/>
      </w:rPr>
    </w:lvl>
    <w:lvl w:ilvl="4">
      <w:start w:val="1"/>
      <w:numFmt w:val="none"/>
      <w:suff w:val="nothing"/>
      <w:lvlText w:val=""/>
      <w:lvlJc w:val="left"/>
      <w:pPr>
        <w:ind w:left="3578" w:hanging="709"/>
      </w:pPr>
      <w:rPr>
        <w:rFonts w:hint="default"/>
      </w:rPr>
    </w:lvl>
    <w:lvl w:ilvl="5">
      <w:start w:val="1"/>
      <w:numFmt w:val="none"/>
      <w:suff w:val="nothing"/>
      <w:lvlText w:val=""/>
      <w:lvlJc w:val="left"/>
      <w:pPr>
        <w:ind w:left="4287" w:hanging="709"/>
      </w:pPr>
      <w:rPr>
        <w:rFonts w:hint="default"/>
      </w:rPr>
    </w:lvl>
    <w:lvl w:ilvl="6">
      <w:start w:val="1"/>
      <w:numFmt w:val="none"/>
      <w:suff w:val="nothing"/>
      <w:lvlText w:val=""/>
      <w:lvlJc w:val="left"/>
      <w:pPr>
        <w:ind w:left="4996" w:hanging="709"/>
      </w:pPr>
      <w:rPr>
        <w:rFonts w:hint="default"/>
      </w:rPr>
    </w:lvl>
    <w:lvl w:ilvl="7">
      <w:start w:val="1"/>
      <w:numFmt w:val="none"/>
      <w:suff w:val="nothing"/>
      <w:lvlText w:val=""/>
      <w:lvlJc w:val="left"/>
      <w:pPr>
        <w:ind w:left="5705" w:hanging="709"/>
      </w:pPr>
      <w:rPr>
        <w:rFonts w:hint="default"/>
      </w:rPr>
    </w:lvl>
    <w:lvl w:ilvl="8">
      <w:start w:val="1"/>
      <w:numFmt w:val="none"/>
      <w:suff w:val="nothing"/>
      <w:lvlText w:val=""/>
      <w:lvlJc w:val="left"/>
      <w:pPr>
        <w:ind w:left="6414" w:hanging="709"/>
      </w:pPr>
      <w:rPr>
        <w:rFonts w:hint="default"/>
      </w:rPr>
    </w:lvl>
  </w:abstractNum>
  <w:num w:numId="1">
    <w:abstractNumId w:val="2"/>
  </w:num>
  <w:num w:numId="2">
    <w:abstractNumId w:val="11"/>
  </w:num>
  <w:num w:numId="3">
    <w:abstractNumId w:val="10"/>
  </w:num>
  <w:num w:numId="4">
    <w:abstractNumId w:val="30"/>
  </w:num>
  <w:num w:numId="5">
    <w:abstractNumId w:val="14"/>
  </w:num>
  <w:num w:numId="6">
    <w:abstractNumId w:val="23"/>
  </w:num>
  <w:num w:numId="7">
    <w:abstractNumId w:val="17"/>
  </w:num>
  <w:num w:numId="8">
    <w:abstractNumId w:val="12"/>
  </w:num>
  <w:num w:numId="9">
    <w:abstractNumId w:val="15"/>
  </w:num>
  <w:num w:numId="10">
    <w:abstractNumId w:val="13"/>
  </w:num>
  <w:num w:numId="11">
    <w:abstractNumId w:val="3"/>
  </w:num>
  <w:num w:numId="12">
    <w:abstractNumId w:val="8"/>
  </w:num>
  <w:num w:numId="13">
    <w:abstractNumId w:val="6"/>
  </w:num>
  <w:num w:numId="14">
    <w:abstractNumId w:val="16"/>
  </w:num>
  <w:num w:numId="15">
    <w:abstractNumId w:val="18"/>
  </w:num>
  <w:num w:numId="16">
    <w:abstractNumId w:val="7"/>
  </w:num>
  <w:num w:numId="17">
    <w:abstractNumId w:val="26"/>
  </w:num>
  <w:num w:numId="18">
    <w:abstractNumId w:val="29"/>
  </w:num>
  <w:num w:numId="19">
    <w:abstractNumId w:val="2"/>
  </w:num>
  <w:num w:numId="20">
    <w:abstractNumId w:val="22"/>
  </w:num>
  <w:num w:numId="21">
    <w:abstractNumId w:val="24"/>
  </w:num>
  <w:num w:numId="22">
    <w:abstractNumId w:val="2"/>
    <w:lvlOverride w:ilvl="0">
      <w:lvl w:ilvl="0">
        <w:start w:val="1"/>
        <w:numFmt w:val="decimal"/>
        <w:pStyle w:val="Heading1"/>
        <w:lvlText w:val="%1."/>
        <w:lvlJc w:val="left"/>
        <w:pPr>
          <w:tabs>
            <w:tab w:val="num" w:pos="0"/>
          </w:tabs>
        </w:pPr>
        <w:rPr>
          <w:rFonts w:hint="default"/>
          <w:b/>
          <w:i w:val="0"/>
          <w:color w:val="0000FF"/>
          <w:u w:val="single"/>
        </w:rPr>
      </w:lvl>
    </w:lvlOverride>
    <w:lvlOverride w:ilvl="1">
      <w:lvl w:ilvl="1">
        <w:start w:val="1"/>
        <w:numFmt w:val="lowerLetter"/>
        <w:lvlText w:val="(%2)"/>
        <w:lvlJc w:val="left"/>
        <w:pPr>
          <w:tabs>
            <w:tab w:val="num" w:pos="0"/>
          </w:tabs>
        </w:pPr>
        <w:rPr>
          <w:rFonts w:hint="default"/>
          <w:b w:val="0"/>
          <w:i w:val="0"/>
          <w:color w:val="0000FF"/>
          <w:u w:val="single"/>
        </w:rPr>
      </w:lvl>
    </w:lvlOverride>
    <w:lvlOverride w:ilvl="2">
      <w:lvl w:ilvl="2">
        <w:start w:val="1"/>
        <w:numFmt w:val="lowerRoman"/>
        <w:pStyle w:val="Heading3"/>
        <w:lvlText w:val="(%3)"/>
        <w:lvlJc w:val="left"/>
        <w:pPr>
          <w:tabs>
            <w:tab w:val="num" w:pos="0"/>
          </w:tabs>
        </w:pPr>
        <w:rPr>
          <w:rFonts w:hint="default"/>
          <w:b w:val="0"/>
          <w:i w:val="0"/>
          <w:color w:val="0000FF"/>
          <w:u w:val="single"/>
        </w:rPr>
      </w:lvl>
    </w:lvlOverride>
    <w:lvlOverride w:ilvl="3">
      <w:lvl w:ilvl="3">
        <w:start w:val="1"/>
        <w:numFmt w:val="upperLetter"/>
        <w:pStyle w:val="Heading4"/>
        <w:lvlText w:val="(%4)"/>
        <w:lvlJc w:val="left"/>
        <w:pPr>
          <w:tabs>
            <w:tab w:val="num" w:pos="0"/>
          </w:tabs>
        </w:pPr>
        <w:rPr>
          <w:rFonts w:hint="default"/>
          <w:color w:val="0000FF"/>
          <w:u w:val="single"/>
        </w:rPr>
      </w:lvl>
    </w:lvlOverride>
    <w:lvlOverride w:ilvl="4">
      <w:lvl w:ilvl="4">
        <w:start w:val="1"/>
        <w:numFmt w:val="none"/>
        <w:pStyle w:val="Heading5"/>
        <w:lvlText w:val=""/>
        <w:lvlJc w:val="left"/>
        <w:pPr>
          <w:tabs>
            <w:tab w:val="num" w:pos="0"/>
          </w:tabs>
        </w:pPr>
        <w:rPr>
          <w:rFonts w:hint="default"/>
          <w:color w:val="0000FF"/>
          <w:u w:val="single"/>
        </w:rPr>
      </w:lvl>
    </w:lvlOverride>
    <w:lvlOverride w:ilvl="5">
      <w:lvl w:ilvl="5">
        <w:start w:val="1"/>
        <w:numFmt w:val="none"/>
        <w:pStyle w:val="Heading6"/>
        <w:suff w:val="nothing"/>
        <w:lvlText w:val=""/>
        <w:lvlJc w:val="left"/>
        <w:rPr>
          <w:rFonts w:hint="default"/>
          <w:color w:val="0000FF"/>
          <w:u w:val="single"/>
        </w:rPr>
      </w:lvl>
    </w:lvlOverride>
    <w:lvlOverride w:ilvl="6">
      <w:lvl w:ilvl="6">
        <w:start w:val="1"/>
        <w:numFmt w:val="none"/>
        <w:pStyle w:val="Heading7"/>
        <w:suff w:val="nothing"/>
        <w:lvlText w:val=""/>
        <w:lvlJc w:val="left"/>
        <w:rPr>
          <w:rFonts w:hint="default"/>
          <w:color w:val="0000FF"/>
          <w:u w:val="single"/>
        </w:rPr>
      </w:lvl>
    </w:lvlOverride>
    <w:lvlOverride w:ilvl="7">
      <w:lvl w:ilvl="7">
        <w:start w:val="1"/>
        <w:numFmt w:val="none"/>
        <w:pStyle w:val="Heading8"/>
        <w:suff w:val="nothing"/>
        <w:lvlText w:val=""/>
        <w:lvlJc w:val="left"/>
        <w:rPr>
          <w:rFonts w:hint="default"/>
          <w:color w:val="0000FF"/>
          <w:u w:val="single"/>
        </w:rPr>
      </w:lvl>
    </w:lvlOverride>
    <w:lvlOverride w:ilvl="8">
      <w:lvl w:ilvl="8">
        <w:start w:val="1"/>
        <w:numFmt w:val="none"/>
        <w:pStyle w:val="Heading9"/>
        <w:suff w:val="nothing"/>
        <w:lvlText w:val=""/>
        <w:lvlJc w:val="left"/>
        <w:rPr>
          <w:rFonts w:hint="default"/>
          <w:color w:val="0000FF"/>
          <w:u w:val="single"/>
        </w:rPr>
      </w:lvl>
    </w:lvlOverride>
  </w:num>
  <w:num w:numId="23">
    <w:abstractNumId w:val="22"/>
    <w:lvlOverride w:ilvl="0">
      <w:lvl w:ilvl="0" w:tplc="61600746">
        <w:start w:val="1"/>
        <w:numFmt w:val="bullet"/>
        <w:lvlText w:val="-"/>
        <w:lvlJc w:val="left"/>
        <w:pPr>
          <w:ind w:left="720" w:hanging="360"/>
        </w:pPr>
        <w:rPr>
          <w:rFonts w:ascii="Arial" w:eastAsia="Times New Roman" w:hAnsi="Arial" w:cs="Arial" w:hint="default"/>
          <w:color w:val="0000FF"/>
          <w:u w:val="single"/>
        </w:rPr>
      </w:lvl>
    </w:lvlOverride>
    <w:lvlOverride w:ilvl="1">
      <w:lvl w:ilvl="1" w:tplc="14090003" w:tentative="1">
        <w:start w:val="1"/>
        <w:numFmt w:val="bullet"/>
        <w:lvlText w:val="o"/>
        <w:lvlJc w:val="left"/>
        <w:pPr>
          <w:ind w:left="1440" w:hanging="360"/>
        </w:pPr>
        <w:rPr>
          <w:rFonts w:ascii="Courier New" w:hAnsi="Courier New" w:cs="Courier New" w:hint="default"/>
          <w:color w:val="0000FF"/>
          <w:u w:val="single"/>
        </w:rPr>
      </w:lvl>
    </w:lvlOverride>
    <w:lvlOverride w:ilvl="2">
      <w:lvl w:ilvl="2" w:tplc="14090005" w:tentative="1">
        <w:start w:val="1"/>
        <w:numFmt w:val="bullet"/>
        <w:lvlText w:val=""/>
        <w:lvlJc w:val="left"/>
        <w:pPr>
          <w:ind w:left="2160" w:hanging="360"/>
        </w:pPr>
        <w:rPr>
          <w:rFonts w:ascii="Wingdings" w:hAnsi="Wingdings" w:hint="default"/>
          <w:color w:val="0000FF"/>
          <w:u w:val="single"/>
        </w:rPr>
      </w:lvl>
    </w:lvlOverride>
    <w:lvlOverride w:ilvl="3">
      <w:lvl w:ilvl="3" w:tplc="14090001" w:tentative="1">
        <w:start w:val="1"/>
        <w:numFmt w:val="bullet"/>
        <w:lvlText w:val=""/>
        <w:lvlJc w:val="left"/>
        <w:pPr>
          <w:ind w:left="2880" w:hanging="360"/>
        </w:pPr>
        <w:rPr>
          <w:rFonts w:ascii="Symbol" w:hAnsi="Symbol" w:hint="default"/>
          <w:color w:val="0000FF"/>
          <w:u w:val="single"/>
        </w:rPr>
      </w:lvl>
    </w:lvlOverride>
    <w:lvlOverride w:ilvl="4">
      <w:lvl w:ilvl="4" w:tplc="14090003" w:tentative="1">
        <w:start w:val="1"/>
        <w:numFmt w:val="bullet"/>
        <w:lvlText w:val="o"/>
        <w:lvlJc w:val="left"/>
        <w:pPr>
          <w:ind w:left="3600" w:hanging="360"/>
        </w:pPr>
        <w:rPr>
          <w:rFonts w:ascii="Courier New" w:hAnsi="Courier New" w:cs="Courier New" w:hint="default"/>
          <w:color w:val="0000FF"/>
          <w:u w:val="single"/>
        </w:rPr>
      </w:lvl>
    </w:lvlOverride>
    <w:lvlOverride w:ilvl="5">
      <w:lvl w:ilvl="5" w:tplc="14090005" w:tentative="1">
        <w:start w:val="1"/>
        <w:numFmt w:val="bullet"/>
        <w:lvlText w:val=""/>
        <w:lvlJc w:val="left"/>
        <w:pPr>
          <w:ind w:left="4320" w:hanging="360"/>
        </w:pPr>
        <w:rPr>
          <w:rFonts w:ascii="Wingdings" w:hAnsi="Wingdings" w:hint="default"/>
          <w:color w:val="0000FF"/>
          <w:u w:val="single"/>
        </w:rPr>
      </w:lvl>
    </w:lvlOverride>
    <w:lvlOverride w:ilvl="6">
      <w:lvl w:ilvl="6" w:tplc="14090001" w:tentative="1">
        <w:start w:val="1"/>
        <w:numFmt w:val="bullet"/>
        <w:lvlText w:val=""/>
        <w:lvlJc w:val="left"/>
        <w:pPr>
          <w:ind w:left="5040" w:hanging="360"/>
        </w:pPr>
        <w:rPr>
          <w:rFonts w:ascii="Symbol" w:hAnsi="Symbol" w:hint="default"/>
          <w:color w:val="0000FF"/>
          <w:u w:val="single"/>
        </w:rPr>
      </w:lvl>
    </w:lvlOverride>
    <w:lvlOverride w:ilvl="7">
      <w:lvl w:ilvl="7" w:tplc="14090003" w:tentative="1">
        <w:start w:val="1"/>
        <w:numFmt w:val="bullet"/>
        <w:lvlText w:val="o"/>
        <w:lvlJc w:val="left"/>
        <w:pPr>
          <w:ind w:left="5760" w:hanging="360"/>
        </w:pPr>
        <w:rPr>
          <w:rFonts w:ascii="Courier New" w:hAnsi="Courier New" w:cs="Courier New" w:hint="default"/>
          <w:color w:val="0000FF"/>
          <w:u w:val="single"/>
        </w:rPr>
      </w:lvl>
    </w:lvlOverride>
    <w:lvlOverride w:ilvl="8">
      <w:lvl w:ilvl="8" w:tplc="14090005" w:tentative="1">
        <w:start w:val="1"/>
        <w:numFmt w:val="bullet"/>
        <w:lvlText w:val=""/>
        <w:lvlJc w:val="left"/>
        <w:pPr>
          <w:ind w:left="6480" w:hanging="360"/>
        </w:pPr>
        <w:rPr>
          <w:rFonts w:ascii="Wingdings" w:hAnsi="Wingdings" w:hint="default"/>
          <w:color w:val="0000FF"/>
          <w:u w:val="single"/>
        </w:rPr>
      </w:lvl>
    </w:lvlOverride>
  </w:num>
  <w:num w:numId="24">
    <w:abstractNumId w:val="24"/>
    <w:lvlOverride w:ilvl="0">
      <w:lvl w:ilvl="0" w:tplc="61FA2A20">
        <w:numFmt w:val="bullet"/>
        <w:lvlText w:val="-"/>
        <w:lvlJc w:val="left"/>
        <w:pPr>
          <w:ind w:left="360" w:hanging="360"/>
        </w:pPr>
        <w:rPr>
          <w:rFonts w:ascii="Arial" w:eastAsiaTheme="minorHAnsi" w:hAnsi="Arial" w:cs="Arial" w:hint="default"/>
          <w:color w:val="0000FF"/>
          <w:u w:val="single"/>
        </w:rPr>
      </w:lvl>
    </w:lvlOverride>
    <w:lvlOverride w:ilvl="1">
      <w:lvl w:ilvl="1" w:tplc="14090003">
        <w:start w:val="1"/>
        <w:numFmt w:val="bullet"/>
        <w:lvlText w:val="o"/>
        <w:lvlJc w:val="left"/>
        <w:pPr>
          <w:ind w:left="1080" w:hanging="360"/>
        </w:pPr>
        <w:rPr>
          <w:rFonts w:ascii="Courier New" w:hAnsi="Courier New" w:cs="Courier New" w:hint="default"/>
          <w:color w:val="0000FF"/>
          <w:u w:val="single"/>
        </w:rPr>
      </w:lvl>
    </w:lvlOverride>
    <w:lvlOverride w:ilvl="2">
      <w:lvl w:ilvl="2" w:tplc="14090005">
        <w:start w:val="1"/>
        <w:numFmt w:val="bullet"/>
        <w:lvlText w:val=""/>
        <w:lvlJc w:val="left"/>
        <w:pPr>
          <w:ind w:left="1800" w:hanging="360"/>
        </w:pPr>
        <w:rPr>
          <w:rFonts w:ascii="Wingdings" w:hAnsi="Wingdings" w:hint="default"/>
          <w:color w:val="0000FF"/>
          <w:u w:val="single"/>
        </w:rPr>
      </w:lvl>
    </w:lvlOverride>
    <w:lvlOverride w:ilvl="3">
      <w:lvl w:ilvl="3" w:tplc="14090001">
        <w:start w:val="1"/>
        <w:numFmt w:val="bullet"/>
        <w:lvlText w:val=""/>
        <w:lvlJc w:val="left"/>
        <w:pPr>
          <w:ind w:left="2520" w:hanging="360"/>
        </w:pPr>
        <w:rPr>
          <w:rFonts w:ascii="Symbol" w:hAnsi="Symbol" w:hint="default"/>
          <w:color w:val="0000FF"/>
          <w:u w:val="single"/>
        </w:rPr>
      </w:lvl>
    </w:lvlOverride>
    <w:lvlOverride w:ilvl="4">
      <w:lvl w:ilvl="4" w:tplc="14090003">
        <w:start w:val="1"/>
        <w:numFmt w:val="bullet"/>
        <w:lvlText w:val="o"/>
        <w:lvlJc w:val="left"/>
        <w:pPr>
          <w:ind w:left="3240" w:hanging="360"/>
        </w:pPr>
        <w:rPr>
          <w:rFonts w:ascii="Courier New" w:hAnsi="Courier New" w:cs="Courier New" w:hint="default"/>
          <w:color w:val="0000FF"/>
          <w:u w:val="single"/>
        </w:rPr>
      </w:lvl>
    </w:lvlOverride>
    <w:lvlOverride w:ilvl="5">
      <w:lvl w:ilvl="5" w:tplc="14090005">
        <w:start w:val="1"/>
        <w:numFmt w:val="bullet"/>
        <w:lvlText w:val=""/>
        <w:lvlJc w:val="left"/>
        <w:pPr>
          <w:ind w:left="3960" w:hanging="360"/>
        </w:pPr>
        <w:rPr>
          <w:rFonts w:ascii="Wingdings" w:hAnsi="Wingdings" w:hint="default"/>
          <w:color w:val="0000FF"/>
          <w:u w:val="single"/>
        </w:rPr>
      </w:lvl>
    </w:lvlOverride>
    <w:lvlOverride w:ilvl="6">
      <w:lvl w:ilvl="6" w:tplc="14090001">
        <w:start w:val="1"/>
        <w:numFmt w:val="bullet"/>
        <w:lvlText w:val=""/>
        <w:lvlJc w:val="left"/>
        <w:pPr>
          <w:ind w:left="4680" w:hanging="360"/>
        </w:pPr>
        <w:rPr>
          <w:rFonts w:ascii="Symbol" w:hAnsi="Symbol" w:hint="default"/>
          <w:color w:val="0000FF"/>
          <w:u w:val="single"/>
        </w:rPr>
      </w:lvl>
    </w:lvlOverride>
    <w:lvlOverride w:ilvl="7">
      <w:lvl w:ilvl="7" w:tplc="14090003">
        <w:start w:val="1"/>
        <w:numFmt w:val="bullet"/>
        <w:lvlText w:val="o"/>
        <w:lvlJc w:val="left"/>
        <w:pPr>
          <w:ind w:left="5400" w:hanging="360"/>
        </w:pPr>
        <w:rPr>
          <w:rFonts w:ascii="Courier New" w:hAnsi="Courier New" w:cs="Courier New" w:hint="default"/>
          <w:color w:val="0000FF"/>
          <w:u w:val="single"/>
        </w:rPr>
      </w:lvl>
    </w:lvlOverride>
    <w:lvlOverride w:ilvl="8">
      <w:lvl w:ilvl="8" w:tplc="14090005">
        <w:start w:val="1"/>
        <w:numFmt w:val="bullet"/>
        <w:lvlText w:val=""/>
        <w:lvlJc w:val="left"/>
        <w:pPr>
          <w:ind w:left="6120" w:hanging="360"/>
        </w:pPr>
        <w:rPr>
          <w:rFonts w:ascii="Wingdings" w:hAnsi="Wingdings" w:hint="default"/>
          <w:color w:val="0000FF"/>
          <w:u w:val="single"/>
        </w:rPr>
      </w:lvl>
    </w:lvlOverride>
  </w:num>
  <w:num w:numId="25">
    <w:abstractNumId w:val="2"/>
  </w:num>
  <w:num w:numId="26">
    <w:abstractNumId w:val="28"/>
  </w:num>
  <w:num w:numId="27">
    <w:abstractNumId w:val="1"/>
  </w:num>
  <w:num w:numId="28">
    <w:abstractNumId w:val="19"/>
  </w:num>
  <w:num w:numId="29">
    <w:abstractNumId w:val="25"/>
  </w:num>
  <w:num w:numId="30">
    <w:abstractNumId w:val="21"/>
  </w:num>
  <w:num w:numId="31">
    <w:abstractNumId w:val="0"/>
  </w:num>
  <w:num w:numId="32">
    <w:abstractNumId w:val="4"/>
  </w:num>
  <w:num w:numId="33">
    <w:abstractNumId w:val="9"/>
  </w:num>
  <w:num w:numId="34">
    <w:abstractNumId w:val="27"/>
  </w:num>
  <w:num w:numId="35">
    <w:abstractNumId w:val="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0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ClientAlias" w:val="103508"/>
    <w:docVar w:name="CurrentMatterAlias" w:val="1"/>
    <w:docVar w:name="FooterClientID" w:val="103508"/>
    <w:docVar w:name="FooterProjectID" w:val="1"/>
    <w:docVar w:name="NumStyle" w:val="1"/>
  </w:docVars>
  <w:rsids>
    <w:rsidRoot w:val="0064643A"/>
    <w:rsid w:val="0000319B"/>
    <w:rsid w:val="00006876"/>
    <w:rsid w:val="000069D6"/>
    <w:rsid w:val="0001168B"/>
    <w:rsid w:val="00012AE1"/>
    <w:rsid w:val="0001594C"/>
    <w:rsid w:val="00035205"/>
    <w:rsid w:val="00036A60"/>
    <w:rsid w:val="00037100"/>
    <w:rsid w:val="000374EA"/>
    <w:rsid w:val="00040296"/>
    <w:rsid w:val="00043908"/>
    <w:rsid w:val="00046C6B"/>
    <w:rsid w:val="0005505A"/>
    <w:rsid w:val="00057D14"/>
    <w:rsid w:val="00061C07"/>
    <w:rsid w:val="00065FE9"/>
    <w:rsid w:val="00070A33"/>
    <w:rsid w:val="000813B6"/>
    <w:rsid w:val="00081E3C"/>
    <w:rsid w:val="00083FFE"/>
    <w:rsid w:val="00091ACE"/>
    <w:rsid w:val="00093FCF"/>
    <w:rsid w:val="00095353"/>
    <w:rsid w:val="00097ADC"/>
    <w:rsid w:val="000B10BE"/>
    <w:rsid w:val="000B6FD2"/>
    <w:rsid w:val="000B7F42"/>
    <w:rsid w:val="000C3097"/>
    <w:rsid w:val="000C43B2"/>
    <w:rsid w:val="000C470B"/>
    <w:rsid w:val="000C6C16"/>
    <w:rsid w:val="000C7723"/>
    <w:rsid w:val="000D2D40"/>
    <w:rsid w:val="000D5233"/>
    <w:rsid w:val="000D5A19"/>
    <w:rsid w:val="000E5F71"/>
    <w:rsid w:val="000E5FC5"/>
    <w:rsid w:val="000F2BCA"/>
    <w:rsid w:val="000F31FD"/>
    <w:rsid w:val="000F5098"/>
    <w:rsid w:val="00104E62"/>
    <w:rsid w:val="00104FF8"/>
    <w:rsid w:val="001060A8"/>
    <w:rsid w:val="00112702"/>
    <w:rsid w:val="00117A14"/>
    <w:rsid w:val="00120F84"/>
    <w:rsid w:val="001222C2"/>
    <w:rsid w:val="001300BC"/>
    <w:rsid w:val="00145C1B"/>
    <w:rsid w:val="00150B0E"/>
    <w:rsid w:val="0015578D"/>
    <w:rsid w:val="0016254E"/>
    <w:rsid w:val="0018340A"/>
    <w:rsid w:val="001839ED"/>
    <w:rsid w:val="0019159B"/>
    <w:rsid w:val="001928C7"/>
    <w:rsid w:val="0019451A"/>
    <w:rsid w:val="00194907"/>
    <w:rsid w:val="001A30F3"/>
    <w:rsid w:val="001A38A1"/>
    <w:rsid w:val="001A5B59"/>
    <w:rsid w:val="001A5B80"/>
    <w:rsid w:val="001A7370"/>
    <w:rsid w:val="001A75BE"/>
    <w:rsid w:val="001B0255"/>
    <w:rsid w:val="001B7915"/>
    <w:rsid w:val="001C46BE"/>
    <w:rsid w:val="001C4857"/>
    <w:rsid w:val="001C54E4"/>
    <w:rsid w:val="001C5C11"/>
    <w:rsid w:val="001C6E5B"/>
    <w:rsid w:val="001E09A2"/>
    <w:rsid w:val="001E2529"/>
    <w:rsid w:val="001F1B84"/>
    <w:rsid w:val="001F427D"/>
    <w:rsid w:val="002046B3"/>
    <w:rsid w:val="0020768A"/>
    <w:rsid w:val="0021271B"/>
    <w:rsid w:val="002159A3"/>
    <w:rsid w:val="0022087A"/>
    <w:rsid w:val="00220AED"/>
    <w:rsid w:val="00220EDF"/>
    <w:rsid w:val="00221F9B"/>
    <w:rsid w:val="0022296E"/>
    <w:rsid w:val="0022339B"/>
    <w:rsid w:val="00224C0E"/>
    <w:rsid w:val="00225AB6"/>
    <w:rsid w:val="00226622"/>
    <w:rsid w:val="00227E85"/>
    <w:rsid w:val="00232548"/>
    <w:rsid w:val="00233D5C"/>
    <w:rsid w:val="00234E81"/>
    <w:rsid w:val="00236347"/>
    <w:rsid w:val="00246982"/>
    <w:rsid w:val="00246DF8"/>
    <w:rsid w:val="002553E9"/>
    <w:rsid w:val="00267428"/>
    <w:rsid w:val="002718B8"/>
    <w:rsid w:val="00271A66"/>
    <w:rsid w:val="002774F3"/>
    <w:rsid w:val="0028744B"/>
    <w:rsid w:val="0029766C"/>
    <w:rsid w:val="002A6730"/>
    <w:rsid w:val="002B1E12"/>
    <w:rsid w:val="002C6D43"/>
    <w:rsid w:val="002D5BD5"/>
    <w:rsid w:val="002F5ED1"/>
    <w:rsid w:val="002F6794"/>
    <w:rsid w:val="002F6DFC"/>
    <w:rsid w:val="003015C1"/>
    <w:rsid w:val="003039F3"/>
    <w:rsid w:val="003047FE"/>
    <w:rsid w:val="003063E0"/>
    <w:rsid w:val="00306E9E"/>
    <w:rsid w:val="00314730"/>
    <w:rsid w:val="003208BE"/>
    <w:rsid w:val="00323C9F"/>
    <w:rsid w:val="00342968"/>
    <w:rsid w:val="0034408F"/>
    <w:rsid w:val="0034498F"/>
    <w:rsid w:val="00347A5A"/>
    <w:rsid w:val="00347C58"/>
    <w:rsid w:val="00352FE9"/>
    <w:rsid w:val="00357070"/>
    <w:rsid w:val="003602DF"/>
    <w:rsid w:val="0036069C"/>
    <w:rsid w:val="00361782"/>
    <w:rsid w:val="003704C6"/>
    <w:rsid w:val="00375FD6"/>
    <w:rsid w:val="00380CDE"/>
    <w:rsid w:val="00382581"/>
    <w:rsid w:val="00392E69"/>
    <w:rsid w:val="003B08FD"/>
    <w:rsid w:val="003B7A3B"/>
    <w:rsid w:val="003C4445"/>
    <w:rsid w:val="003C5723"/>
    <w:rsid w:val="003D07D2"/>
    <w:rsid w:val="003D191A"/>
    <w:rsid w:val="003D7DF5"/>
    <w:rsid w:val="003E482C"/>
    <w:rsid w:val="003E5273"/>
    <w:rsid w:val="003E5903"/>
    <w:rsid w:val="003F39D7"/>
    <w:rsid w:val="00402941"/>
    <w:rsid w:val="00406006"/>
    <w:rsid w:val="00416FB7"/>
    <w:rsid w:val="00425AB1"/>
    <w:rsid w:val="0043401E"/>
    <w:rsid w:val="004357A0"/>
    <w:rsid w:val="00440885"/>
    <w:rsid w:val="00441059"/>
    <w:rsid w:val="00446F9D"/>
    <w:rsid w:val="00447845"/>
    <w:rsid w:val="00452088"/>
    <w:rsid w:val="0045230F"/>
    <w:rsid w:val="00452B72"/>
    <w:rsid w:val="00452D17"/>
    <w:rsid w:val="00457599"/>
    <w:rsid w:val="004615B3"/>
    <w:rsid w:val="004633F1"/>
    <w:rsid w:val="0046464A"/>
    <w:rsid w:val="00492787"/>
    <w:rsid w:val="004A261E"/>
    <w:rsid w:val="004A510F"/>
    <w:rsid w:val="004B1543"/>
    <w:rsid w:val="004C0545"/>
    <w:rsid w:val="004C35F0"/>
    <w:rsid w:val="004D50FE"/>
    <w:rsid w:val="004D76C8"/>
    <w:rsid w:val="004D76EA"/>
    <w:rsid w:val="004E05D8"/>
    <w:rsid w:val="004E0721"/>
    <w:rsid w:val="004F3A0E"/>
    <w:rsid w:val="004F6552"/>
    <w:rsid w:val="00501A3F"/>
    <w:rsid w:val="00504FC4"/>
    <w:rsid w:val="0051198B"/>
    <w:rsid w:val="0051526A"/>
    <w:rsid w:val="00520118"/>
    <w:rsid w:val="00522AE0"/>
    <w:rsid w:val="00531E1A"/>
    <w:rsid w:val="00537389"/>
    <w:rsid w:val="00541B16"/>
    <w:rsid w:val="00541FAA"/>
    <w:rsid w:val="005429FC"/>
    <w:rsid w:val="005518B3"/>
    <w:rsid w:val="00553F4F"/>
    <w:rsid w:val="0055426B"/>
    <w:rsid w:val="00554DEE"/>
    <w:rsid w:val="00556DB9"/>
    <w:rsid w:val="00561DD0"/>
    <w:rsid w:val="00565D75"/>
    <w:rsid w:val="00566364"/>
    <w:rsid w:val="005725E7"/>
    <w:rsid w:val="0057387D"/>
    <w:rsid w:val="0058129D"/>
    <w:rsid w:val="0058144A"/>
    <w:rsid w:val="0058565B"/>
    <w:rsid w:val="00587DC9"/>
    <w:rsid w:val="005900E2"/>
    <w:rsid w:val="00596B7A"/>
    <w:rsid w:val="00597B6A"/>
    <w:rsid w:val="005A2400"/>
    <w:rsid w:val="005C0C75"/>
    <w:rsid w:val="005C0EBF"/>
    <w:rsid w:val="005C602E"/>
    <w:rsid w:val="005D2460"/>
    <w:rsid w:val="005D3951"/>
    <w:rsid w:val="005D607B"/>
    <w:rsid w:val="005E1909"/>
    <w:rsid w:val="005F07CA"/>
    <w:rsid w:val="005F74D7"/>
    <w:rsid w:val="005F7E30"/>
    <w:rsid w:val="00602BBE"/>
    <w:rsid w:val="006231F2"/>
    <w:rsid w:val="0062627D"/>
    <w:rsid w:val="006273C5"/>
    <w:rsid w:val="00633E66"/>
    <w:rsid w:val="006376AF"/>
    <w:rsid w:val="0064643A"/>
    <w:rsid w:val="00651E84"/>
    <w:rsid w:val="00652E28"/>
    <w:rsid w:val="00654640"/>
    <w:rsid w:val="00657EC8"/>
    <w:rsid w:val="00657FA3"/>
    <w:rsid w:val="00670FF7"/>
    <w:rsid w:val="00676F2F"/>
    <w:rsid w:val="006840DC"/>
    <w:rsid w:val="006848DC"/>
    <w:rsid w:val="00687B1F"/>
    <w:rsid w:val="006A4B33"/>
    <w:rsid w:val="006B7BC0"/>
    <w:rsid w:val="006C1DFD"/>
    <w:rsid w:val="006C2801"/>
    <w:rsid w:val="006C7326"/>
    <w:rsid w:val="006D2851"/>
    <w:rsid w:val="006D28A8"/>
    <w:rsid w:val="006D42FA"/>
    <w:rsid w:val="006E37C9"/>
    <w:rsid w:val="006E4664"/>
    <w:rsid w:val="006F3929"/>
    <w:rsid w:val="00713403"/>
    <w:rsid w:val="007215E4"/>
    <w:rsid w:val="0072374F"/>
    <w:rsid w:val="00733C1E"/>
    <w:rsid w:val="00735EC8"/>
    <w:rsid w:val="007367CF"/>
    <w:rsid w:val="00753F67"/>
    <w:rsid w:val="007544D9"/>
    <w:rsid w:val="00756C14"/>
    <w:rsid w:val="00767DEF"/>
    <w:rsid w:val="00784025"/>
    <w:rsid w:val="007A3114"/>
    <w:rsid w:val="007A56FE"/>
    <w:rsid w:val="007C2F7D"/>
    <w:rsid w:val="007C353D"/>
    <w:rsid w:val="007C4405"/>
    <w:rsid w:val="007D1C90"/>
    <w:rsid w:val="007F6015"/>
    <w:rsid w:val="00801226"/>
    <w:rsid w:val="00821D0C"/>
    <w:rsid w:val="00825D4A"/>
    <w:rsid w:val="00827E1E"/>
    <w:rsid w:val="00831702"/>
    <w:rsid w:val="0083335D"/>
    <w:rsid w:val="00834341"/>
    <w:rsid w:val="00846E47"/>
    <w:rsid w:val="00861015"/>
    <w:rsid w:val="00864F99"/>
    <w:rsid w:val="00865D0B"/>
    <w:rsid w:val="00867DE9"/>
    <w:rsid w:val="00871353"/>
    <w:rsid w:val="00876539"/>
    <w:rsid w:val="00876C56"/>
    <w:rsid w:val="00882B99"/>
    <w:rsid w:val="008942C0"/>
    <w:rsid w:val="00895001"/>
    <w:rsid w:val="008A735C"/>
    <w:rsid w:val="008B6430"/>
    <w:rsid w:val="008C1AED"/>
    <w:rsid w:val="008D0881"/>
    <w:rsid w:val="008D0B83"/>
    <w:rsid w:val="008D1504"/>
    <w:rsid w:val="008D4AF1"/>
    <w:rsid w:val="008F13B6"/>
    <w:rsid w:val="008F798A"/>
    <w:rsid w:val="00903CCC"/>
    <w:rsid w:val="00912749"/>
    <w:rsid w:val="009209A6"/>
    <w:rsid w:val="009329F3"/>
    <w:rsid w:val="00933819"/>
    <w:rsid w:val="00941FA9"/>
    <w:rsid w:val="00943611"/>
    <w:rsid w:val="0094385D"/>
    <w:rsid w:val="009454AB"/>
    <w:rsid w:val="00950B5F"/>
    <w:rsid w:val="0095720D"/>
    <w:rsid w:val="009661D7"/>
    <w:rsid w:val="00967394"/>
    <w:rsid w:val="00970875"/>
    <w:rsid w:val="00970AC6"/>
    <w:rsid w:val="00971979"/>
    <w:rsid w:val="00976AAE"/>
    <w:rsid w:val="00982A36"/>
    <w:rsid w:val="00990C9A"/>
    <w:rsid w:val="00992E13"/>
    <w:rsid w:val="00993DCA"/>
    <w:rsid w:val="00997C8F"/>
    <w:rsid w:val="009A05C5"/>
    <w:rsid w:val="009A78AD"/>
    <w:rsid w:val="009B2FFD"/>
    <w:rsid w:val="009B3709"/>
    <w:rsid w:val="009B4137"/>
    <w:rsid w:val="009C1449"/>
    <w:rsid w:val="009C22F8"/>
    <w:rsid w:val="009C478B"/>
    <w:rsid w:val="009D129D"/>
    <w:rsid w:val="009D13C8"/>
    <w:rsid w:val="009D1EC1"/>
    <w:rsid w:val="009D3E1D"/>
    <w:rsid w:val="009D6967"/>
    <w:rsid w:val="009E2ED1"/>
    <w:rsid w:val="009E669B"/>
    <w:rsid w:val="009E6AE8"/>
    <w:rsid w:val="009F0519"/>
    <w:rsid w:val="009F1AB4"/>
    <w:rsid w:val="009F4983"/>
    <w:rsid w:val="009F564E"/>
    <w:rsid w:val="009F5B1F"/>
    <w:rsid w:val="00A100C3"/>
    <w:rsid w:val="00A26217"/>
    <w:rsid w:val="00A2731D"/>
    <w:rsid w:val="00A276EC"/>
    <w:rsid w:val="00A347AE"/>
    <w:rsid w:val="00A525A5"/>
    <w:rsid w:val="00A9041C"/>
    <w:rsid w:val="00AA75C9"/>
    <w:rsid w:val="00AB34BE"/>
    <w:rsid w:val="00AB7045"/>
    <w:rsid w:val="00AC2619"/>
    <w:rsid w:val="00AC31D8"/>
    <w:rsid w:val="00AD1281"/>
    <w:rsid w:val="00AD143B"/>
    <w:rsid w:val="00AD3488"/>
    <w:rsid w:val="00AD5116"/>
    <w:rsid w:val="00AF10D7"/>
    <w:rsid w:val="00AF2060"/>
    <w:rsid w:val="00AF7AC6"/>
    <w:rsid w:val="00B01537"/>
    <w:rsid w:val="00B01D2F"/>
    <w:rsid w:val="00B10CC5"/>
    <w:rsid w:val="00B11C1A"/>
    <w:rsid w:val="00B12588"/>
    <w:rsid w:val="00B13213"/>
    <w:rsid w:val="00B15C7E"/>
    <w:rsid w:val="00B1726F"/>
    <w:rsid w:val="00B3074B"/>
    <w:rsid w:val="00B3387F"/>
    <w:rsid w:val="00B35D91"/>
    <w:rsid w:val="00B4077D"/>
    <w:rsid w:val="00B42252"/>
    <w:rsid w:val="00B42409"/>
    <w:rsid w:val="00B50416"/>
    <w:rsid w:val="00B518F7"/>
    <w:rsid w:val="00B51BE5"/>
    <w:rsid w:val="00B558B8"/>
    <w:rsid w:val="00B677B9"/>
    <w:rsid w:val="00B77A13"/>
    <w:rsid w:val="00B82362"/>
    <w:rsid w:val="00B95DBC"/>
    <w:rsid w:val="00BA2007"/>
    <w:rsid w:val="00BA61DC"/>
    <w:rsid w:val="00BB06EA"/>
    <w:rsid w:val="00BB2083"/>
    <w:rsid w:val="00BB5CFC"/>
    <w:rsid w:val="00BD0FDE"/>
    <w:rsid w:val="00BD3B91"/>
    <w:rsid w:val="00BE2454"/>
    <w:rsid w:val="00BE3DB0"/>
    <w:rsid w:val="00BE4608"/>
    <w:rsid w:val="00BE47F4"/>
    <w:rsid w:val="00BE6BA0"/>
    <w:rsid w:val="00BF2D30"/>
    <w:rsid w:val="00BF5262"/>
    <w:rsid w:val="00BF5C3A"/>
    <w:rsid w:val="00C012FE"/>
    <w:rsid w:val="00C041C2"/>
    <w:rsid w:val="00C044E3"/>
    <w:rsid w:val="00C04FA6"/>
    <w:rsid w:val="00C21567"/>
    <w:rsid w:val="00C41342"/>
    <w:rsid w:val="00C5363E"/>
    <w:rsid w:val="00C61A78"/>
    <w:rsid w:val="00C6697F"/>
    <w:rsid w:val="00C75F28"/>
    <w:rsid w:val="00C76510"/>
    <w:rsid w:val="00C77A7C"/>
    <w:rsid w:val="00C84D67"/>
    <w:rsid w:val="00C8658F"/>
    <w:rsid w:val="00C868A5"/>
    <w:rsid w:val="00CB0A25"/>
    <w:rsid w:val="00CB506D"/>
    <w:rsid w:val="00CC6984"/>
    <w:rsid w:val="00CD1298"/>
    <w:rsid w:val="00CD4A99"/>
    <w:rsid w:val="00CD5146"/>
    <w:rsid w:val="00CD6AA3"/>
    <w:rsid w:val="00CE5DE2"/>
    <w:rsid w:val="00CE7337"/>
    <w:rsid w:val="00CF0344"/>
    <w:rsid w:val="00D12938"/>
    <w:rsid w:val="00D13B8E"/>
    <w:rsid w:val="00D2018C"/>
    <w:rsid w:val="00D253E0"/>
    <w:rsid w:val="00D267D4"/>
    <w:rsid w:val="00D35645"/>
    <w:rsid w:val="00D3717A"/>
    <w:rsid w:val="00D37545"/>
    <w:rsid w:val="00D42A04"/>
    <w:rsid w:val="00D455CD"/>
    <w:rsid w:val="00D50929"/>
    <w:rsid w:val="00D51CBF"/>
    <w:rsid w:val="00D56F39"/>
    <w:rsid w:val="00D60947"/>
    <w:rsid w:val="00D621B7"/>
    <w:rsid w:val="00D751D9"/>
    <w:rsid w:val="00D76343"/>
    <w:rsid w:val="00D806E0"/>
    <w:rsid w:val="00D812A1"/>
    <w:rsid w:val="00D818E3"/>
    <w:rsid w:val="00D81EAC"/>
    <w:rsid w:val="00D82C98"/>
    <w:rsid w:val="00D91469"/>
    <w:rsid w:val="00D921BF"/>
    <w:rsid w:val="00DB0429"/>
    <w:rsid w:val="00DC1623"/>
    <w:rsid w:val="00DC1E47"/>
    <w:rsid w:val="00DD0571"/>
    <w:rsid w:val="00DD21A1"/>
    <w:rsid w:val="00DD4080"/>
    <w:rsid w:val="00DE2E3D"/>
    <w:rsid w:val="00DE5914"/>
    <w:rsid w:val="00DE5F0A"/>
    <w:rsid w:val="00DF31F7"/>
    <w:rsid w:val="00DF4402"/>
    <w:rsid w:val="00E0132C"/>
    <w:rsid w:val="00E01F2F"/>
    <w:rsid w:val="00E11D55"/>
    <w:rsid w:val="00E14ACC"/>
    <w:rsid w:val="00E34586"/>
    <w:rsid w:val="00E41398"/>
    <w:rsid w:val="00E41A0F"/>
    <w:rsid w:val="00E47579"/>
    <w:rsid w:val="00E51812"/>
    <w:rsid w:val="00E56CD8"/>
    <w:rsid w:val="00E63ADA"/>
    <w:rsid w:val="00E63F3D"/>
    <w:rsid w:val="00E64778"/>
    <w:rsid w:val="00E71DEE"/>
    <w:rsid w:val="00E71E75"/>
    <w:rsid w:val="00E912B0"/>
    <w:rsid w:val="00E924F3"/>
    <w:rsid w:val="00E96D01"/>
    <w:rsid w:val="00EA43B8"/>
    <w:rsid w:val="00EB0341"/>
    <w:rsid w:val="00EB0D3C"/>
    <w:rsid w:val="00EB2584"/>
    <w:rsid w:val="00EB3EA0"/>
    <w:rsid w:val="00EB45A7"/>
    <w:rsid w:val="00EC1592"/>
    <w:rsid w:val="00EE2A41"/>
    <w:rsid w:val="00F05F84"/>
    <w:rsid w:val="00F1521E"/>
    <w:rsid w:val="00F23C7D"/>
    <w:rsid w:val="00F27906"/>
    <w:rsid w:val="00F3388D"/>
    <w:rsid w:val="00F33D6D"/>
    <w:rsid w:val="00F359C4"/>
    <w:rsid w:val="00F40B8E"/>
    <w:rsid w:val="00F42C5B"/>
    <w:rsid w:val="00F45B52"/>
    <w:rsid w:val="00F5076E"/>
    <w:rsid w:val="00F536DB"/>
    <w:rsid w:val="00F5371F"/>
    <w:rsid w:val="00F567A6"/>
    <w:rsid w:val="00F574FD"/>
    <w:rsid w:val="00F607C5"/>
    <w:rsid w:val="00F6440E"/>
    <w:rsid w:val="00F64B92"/>
    <w:rsid w:val="00F677E3"/>
    <w:rsid w:val="00F727AC"/>
    <w:rsid w:val="00F918D6"/>
    <w:rsid w:val="00FA3592"/>
    <w:rsid w:val="00FA4C18"/>
    <w:rsid w:val="00FA718E"/>
    <w:rsid w:val="00FC0481"/>
    <w:rsid w:val="00FC083D"/>
    <w:rsid w:val="00FC7BF9"/>
    <w:rsid w:val="00FD7392"/>
    <w:rsid w:val="00FE618E"/>
    <w:rsid w:val="00FE6F9A"/>
    <w:rsid w:val="00FF3A2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6B883"/>
  <w15:docId w15:val="{F4267F68-2537-4609-BFAE-E9058D51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B91"/>
    <w:pPr>
      <w:overflowPunct w:val="0"/>
      <w:autoSpaceDE w:val="0"/>
      <w:autoSpaceDN w:val="0"/>
      <w:adjustRightInd w:val="0"/>
      <w:spacing w:after="240"/>
      <w:jc w:val="both"/>
      <w:textAlignment w:val="baseline"/>
    </w:pPr>
    <w:rPr>
      <w:rFonts w:ascii="Arial" w:hAnsi="Arial"/>
      <w:sz w:val="21"/>
    </w:rPr>
  </w:style>
  <w:style w:type="paragraph" w:styleId="Heading1">
    <w:name w:val="heading 1"/>
    <w:basedOn w:val="Normal"/>
    <w:link w:val="Heading1Char"/>
    <w:qFormat/>
    <w:rsid w:val="00B77A13"/>
    <w:pPr>
      <w:keepNext/>
      <w:numPr>
        <w:numId w:val="1"/>
      </w:numPr>
      <w:tabs>
        <w:tab w:val="left" w:pos="851"/>
      </w:tabs>
      <w:outlineLvl w:val="0"/>
    </w:pPr>
    <w:rPr>
      <w:rFonts w:asciiTheme="minorHAnsi" w:hAnsiTheme="minorHAnsi"/>
      <w:b/>
      <w:caps/>
      <w:color w:val="006600"/>
      <w:sz w:val="28"/>
      <w:szCs w:val="28"/>
    </w:rPr>
  </w:style>
  <w:style w:type="paragraph" w:styleId="Heading2">
    <w:name w:val="heading 2"/>
    <w:basedOn w:val="Normal"/>
    <w:qFormat/>
    <w:rsid w:val="00012AE1"/>
    <w:pPr>
      <w:shd w:val="clear" w:color="auto" w:fill="FFFFFF" w:themeFill="background1"/>
      <w:overflowPunct/>
      <w:spacing w:before="180" w:after="120"/>
      <w:contextualSpacing/>
      <w:textAlignment w:val="auto"/>
      <w:outlineLvl w:val="1"/>
    </w:pPr>
    <w:rPr>
      <w:rFonts w:asciiTheme="minorHAnsi" w:hAnsiTheme="minorHAnsi"/>
      <w:b/>
      <w:color w:val="00B050"/>
      <w:sz w:val="28"/>
      <w:szCs w:val="28"/>
    </w:rPr>
  </w:style>
  <w:style w:type="paragraph" w:styleId="Heading3">
    <w:name w:val="heading 3"/>
    <w:basedOn w:val="Normal"/>
    <w:qFormat/>
    <w:rsid w:val="00F567A6"/>
    <w:pPr>
      <w:numPr>
        <w:ilvl w:val="2"/>
        <w:numId w:val="1"/>
      </w:numPr>
      <w:tabs>
        <w:tab w:val="clear" w:pos="0"/>
        <w:tab w:val="left" w:pos="1985"/>
      </w:tabs>
      <w:outlineLvl w:val="2"/>
    </w:pPr>
  </w:style>
  <w:style w:type="paragraph" w:styleId="Heading4">
    <w:name w:val="heading 4"/>
    <w:basedOn w:val="Normal"/>
    <w:qFormat/>
    <w:rsid w:val="00F567A6"/>
    <w:pPr>
      <w:numPr>
        <w:ilvl w:val="3"/>
        <w:numId w:val="1"/>
      </w:numPr>
      <w:tabs>
        <w:tab w:val="clear" w:pos="0"/>
        <w:tab w:val="left" w:pos="2552"/>
      </w:tabs>
      <w:outlineLvl w:val="3"/>
    </w:pPr>
  </w:style>
  <w:style w:type="paragraph" w:styleId="Heading5">
    <w:name w:val="heading 5"/>
    <w:basedOn w:val="Normal"/>
    <w:next w:val="NoNumCrt"/>
    <w:qFormat/>
    <w:rsid w:val="00F567A6"/>
    <w:pPr>
      <w:numPr>
        <w:ilvl w:val="4"/>
        <w:numId w:val="1"/>
      </w:numPr>
      <w:tabs>
        <w:tab w:val="left" w:pos="2552"/>
      </w:tabs>
      <w:outlineLvl w:val="4"/>
    </w:pPr>
  </w:style>
  <w:style w:type="paragraph" w:styleId="Heading6">
    <w:name w:val="heading 6"/>
    <w:basedOn w:val="Normal"/>
    <w:next w:val="NoNumCrt"/>
    <w:qFormat/>
    <w:rsid w:val="00F567A6"/>
    <w:pPr>
      <w:numPr>
        <w:ilvl w:val="5"/>
        <w:numId w:val="1"/>
      </w:numPr>
      <w:tabs>
        <w:tab w:val="left" w:pos="851"/>
        <w:tab w:val="left" w:pos="1701"/>
        <w:tab w:val="left" w:pos="2552"/>
      </w:tabs>
      <w:spacing w:line="360" w:lineRule="auto"/>
      <w:outlineLvl w:val="5"/>
    </w:pPr>
  </w:style>
  <w:style w:type="paragraph" w:styleId="Heading7">
    <w:name w:val="heading 7"/>
    <w:basedOn w:val="Normal"/>
    <w:next w:val="NoNumCrt"/>
    <w:qFormat/>
    <w:rsid w:val="00F567A6"/>
    <w:pPr>
      <w:numPr>
        <w:ilvl w:val="6"/>
        <w:numId w:val="1"/>
      </w:numPr>
      <w:tabs>
        <w:tab w:val="left" w:pos="851"/>
        <w:tab w:val="left" w:pos="1701"/>
        <w:tab w:val="left" w:pos="2552"/>
      </w:tabs>
      <w:spacing w:line="360" w:lineRule="auto"/>
      <w:outlineLvl w:val="6"/>
    </w:pPr>
  </w:style>
  <w:style w:type="paragraph" w:styleId="Heading8">
    <w:name w:val="heading 8"/>
    <w:basedOn w:val="Normal"/>
    <w:next w:val="NoNumCrt"/>
    <w:qFormat/>
    <w:rsid w:val="00F567A6"/>
    <w:pPr>
      <w:numPr>
        <w:ilvl w:val="7"/>
        <w:numId w:val="1"/>
      </w:numPr>
      <w:tabs>
        <w:tab w:val="left" w:pos="851"/>
        <w:tab w:val="left" w:pos="1701"/>
        <w:tab w:val="left" w:pos="2552"/>
      </w:tabs>
      <w:spacing w:line="360" w:lineRule="auto"/>
      <w:outlineLvl w:val="7"/>
    </w:pPr>
  </w:style>
  <w:style w:type="paragraph" w:styleId="Heading9">
    <w:name w:val="heading 9"/>
    <w:basedOn w:val="Normal"/>
    <w:next w:val="NoNumCrt"/>
    <w:qFormat/>
    <w:rsid w:val="00F567A6"/>
    <w:pPr>
      <w:numPr>
        <w:ilvl w:val="8"/>
        <w:numId w:val="1"/>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A13"/>
    <w:rPr>
      <w:rFonts w:asciiTheme="minorHAnsi" w:hAnsiTheme="minorHAnsi"/>
      <w:b/>
      <w:caps/>
      <w:color w:val="006600"/>
      <w:sz w:val="28"/>
      <w:szCs w:val="28"/>
    </w:rPr>
  </w:style>
  <w:style w:type="paragraph" w:customStyle="1" w:styleId="NoNumCrt">
    <w:name w:val="NoNumCrt"/>
    <w:basedOn w:val="NoNum"/>
    <w:rsid w:val="00F567A6"/>
  </w:style>
  <w:style w:type="paragraph" w:customStyle="1" w:styleId="NoNum">
    <w:name w:val="NoNum"/>
    <w:basedOn w:val="Normal"/>
    <w:rsid w:val="00F567A6"/>
  </w:style>
  <w:style w:type="paragraph" w:customStyle="1" w:styleId="Court">
    <w:name w:val="Court"/>
    <w:basedOn w:val="Normal"/>
    <w:rsid w:val="00F567A6"/>
    <w:pPr>
      <w:spacing w:line="360" w:lineRule="auto"/>
    </w:pPr>
  </w:style>
  <w:style w:type="paragraph" w:customStyle="1" w:styleId="Textright">
    <w:name w:val="Text right"/>
    <w:basedOn w:val="Normal"/>
    <w:rsid w:val="00F567A6"/>
    <w:pPr>
      <w:ind w:left="4320"/>
      <w:jc w:val="left"/>
    </w:pPr>
  </w:style>
  <w:style w:type="paragraph" w:customStyle="1" w:styleId="Signingposright">
    <w:name w:val="Signing pos right"/>
    <w:basedOn w:val="Normal"/>
    <w:rsid w:val="00F567A6"/>
    <w:pPr>
      <w:spacing w:line="20" w:lineRule="atLeast"/>
      <w:ind w:left="4320" w:right="662"/>
      <w:jc w:val="left"/>
    </w:pPr>
  </w:style>
  <w:style w:type="paragraph" w:styleId="Header">
    <w:name w:val="header"/>
    <w:basedOn w:val="Normal"/>
    <w:link w:val="HeaderChar"/>
    <w:uiPriority w:val="99"/>
    <w:rsid w:val="0020768A"/>
    <w:pPr>
      <w:tabs>
        <w:tab w:val="center" w:pos="4320"/>
        <w:tab w:val="right" w:pos="8640"/>
      </w:tabs>
    </w:pPr>
  </w:style>
  <w:style w:type="paragraph" w:styleId="Footer">
    <w:name w:val="footer"/>
    <w:basedOn w:val="Normal"/>
    <w:rsid w:val="0020768A"/>
    <w:pPr>
      <w:tabs>
        <w:tab w:val="center" w:pos="4320"/>
        <w:tab w:val="right" w:pos="8640"/>
      </w:tabs>
    </w:pPr>
  </w:style>
  <w:style w:type="paragraph" w:styleId="ListParagraph">
    <w:name w:val="List Paragraph"/>
    <w:basedOn w:val="Normal"/>
    <w:link w:val="ListParagraphChar"/>
    <w:uiPriority w:val="34"/>
    <w:qFormat/>
    <w:rsid w:val="00BD3B91"/>
    <w:pPr>
      <w:ind w:left="624"/>
    </w:pPr>
  </w:style>
  <w:style w:type="character" w:customStyle="1" w:styleId="ListParagraphChar">
    <w:name w:val="List Paragraph Char"/>
    <w:basedOn w:val="DefaultParagraphFont"/>
    <w:link w:val="ListParagraph"/>
    <w:uiPriority w:val="34"/>
    <w:rsid w:val="00BD3B91"/>
    <w:rPr>
      <w:rFonts w:ascii="Arial" w:hAnsi="Arial"/>
      <w:sz w:val="21"/>
    </w:rPr>
  </w:style>
  <w:style w:type="paragraph" w:customStyle="1" w:styleId="CTLetter">
    <w:name w:val="CT Letter"/>
    <w:basedOn w:val="ListParagraph"/>
    <w:qFormat/>
    <w:rsid w:val="00BD3B91"/>
    <w:pPr>
      <w:numPr>
        <w:numId w:val="14"/>
      </w:numPr>
      <w:tabs>
        <w:tab w:val="num" w:pos="0"/>
      </w:tabs>
      <w:ind w:left="851" w:hanging="851"/>
    </w:pPr>
  </w:style>
  <w:style w:type="paragraph" w:styleId="FootnoteText">
    <w:name w:val="footnote text"/>
    <w:aliases w:val="FN,fn,FT,ft,ftFootnote Text,fnFootnote Text,f,FN Cha,Footnote Numbers,Footnote Text Char Char,FN Char Char,Footnote Numbers Char Char,fnFootnote,ALTS FOOTNOTE,Footnote TextHJ,Footnote Numbers Char Char 字元 字元,Car,f2,FN1"/>
    <w:basedOn w:val="Normal"/>
    <w:link w:val="FootnoteTextChar"/>
    <w:uiPriority w:val="99"/>
    <w:qFormat/>
    <w:rsid w:val="00BD3B91"/>
    <w:pPr>
      <w:spacing w:after="120"/>
      <w:ind w:left="284"/>
    </w:pPr>
    <w:rPr>
      <w:sz w:val="16"/>
    </w:rPr>
  </w:style>
  <w:style w:type="character" w:customStyle="1" w:styleId="FootnoteTextChar">
    <w:name w:val="Footnote Text Char"/>
    <w:aliases w:val="FN Char,fn Char,FT Char,ft Char,ftFootnote Text Char,fnFootnote Text Char,f Char,FN Cha Char,Footnote Numbers Char,Footnote Text Char Char Char,FN Char Char Char,Footnote Numbers Char Char Char,fnFootnote Char,ALTS FOOTNOTE Char"/>
    <w:basedOn w:val="DefaultParagraphFont"/>
    <w:link w:val="FootnoteText"/>
    <w:uiPriority w:val="99"/>
    <w:rsid w:val="00BD3B91"/>
    <w:rPr>
      <w:rFonts w:ascii="Arial" w:hAnsi="Arial"/>
      <w:sz w:val="16"/>
    </w:rPr>
  </w:style>
  <w:style w:type="character" w:styleId="Hyperlink">
    <w:name w:val="Hyperlink"/>
    <w:basedOn w:val="DefaultParagraphFont"/>
    <w:uiPriority w:val="99"/>
    <w:unhideWhenUsed/>
    <w:rsid w:val="00BD3B91"/>
    <w:rPr>
      <w:color w:val="0000FF" w:themeColor="hyperlink"/>
      <w:u w:val="single"/>
    </w:rPr>
  </w:style>
  <w:style w:type="table" w:styleId="TableGrid">
    <w:name w:val="Table Grid"/>
    <w:basedOn w:val="TableNormal"/>
    <w:uiPriority w:val="59"/>
    <w:rsid w:val="00BD3B91"/>
    <w:pPr>
      <w:spacing w:after="260" w:line="260" w:lineRule="atLeast"/>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uiPriority w:val="39"/>
    <w:qFormat/>
    <w:rsid w:val="00BD3B91"/>
    <w:pPr>
      <w:tabs>
        <w:tab w:val="left" w:pos="851"/>
        <w:tab w:val="right" w:leader="dot" w:pos="9072"/>
      </w:tabs>
    </w:pPr>
    <w:rPr>
      <w:caps/>
    </w:rPr>
  </w:style>
  <w:style w:type="character" w:styleId="FootnoteReference">
    <w:name w:val="footnote reference"/>
    <w:basedOn w:val="DefaultParagraphFont"/>
    <w:uiPriority w:val="99"/>
    <w:unhideWhenUsed/>
    <w:rsid w:val="00BD3B91"/>
    <w:rPr>
      <w:vertAlign w:val="superscript"/>
    </w:rPr>
  </w:style>
  <w:style w:type="paragraph" w:styleId="BalloonText">
    <w:name w:val="Balloon Text"/>
    <w:basedOn w:val="Normal"/>
    <w:link w:val="BalloonTextChar"/>
    <w:rsid w:val="00BD3B91"/>
    <w:pPr>
      <w:spacing w:after="0"/>
    </w:pPr>
    <w:rPr>
      <w:rFonts w:ascii="Tahoma" w:hAnsi="Tahoma" w:cs="Tahoma"/>
      <w:sz w:val="16"/>
      <w:szCs w:val="16"/>
    </w:rPr>
  </w:style>
  <w:style w:type="character" w:customStyle="1" w:styleId="BalloonTextChar">
    <w:name w:val="Balloon Text Char"/>
    <w:basedOn w:val="DefaultParagraphFont"/>
    <w:link w:val="BalloonText"/>
    <w:rsid w:val="00BD3B91"/>
    <w:rPr>
      <w:rFonts w:ascii="Tahoma" w:hAnsi="Tahoma" w:cs="Tahoma"/>
      <w:sz w:val="16"/>
      <w:szCs w:val="16"/>
    </w:rPr>
  </w:style>
  <w:style w:type="paragraph" w:styleId="NormalWeb">
    <w:name w:val="Normal (Web)"/>
    <w:basedOn w:val="Normal"/>
    <w:uiPriority w:val="99"/>
    <w:unhideWhenUsed/>
    <w:rsid w:val="00D51CBF"/>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character" w:customStyle="1" w:styleId="HeaderChar">
    <w:name w:val="Header Char"/>
    <w:basedOn w:val="DefaultParagraphFont"/>
    <w:link w:val="Header"/>
    <w:uiPriority w:val="99"/>
    <w:rsid w:val="00091ACE"/>
    <w:rPr>
      <w:rFonts w:ascii="Arial" w:hAnsi="Arial"/>
      <w:sz w:val="21"/>
    </w:rPr>
  </w:style>
  <w:style w:type="paragraph" w:styleId="BodyText">
    <w:name w:val="Body Text"/>
    <w:basedOn w:val="Normal"/>
    <w:link w:val="BodyTextChar"/>
    <w:rsid w:val="00B01D2F"/>
    <w:pPr>
      <w:tabs>
        <w:tab w:val="left" w:pos="5940"/>
      </w:tabs>
      <w:overflowPunct/>
      <w:autoSpaceDE/>
      <w:autoSpaceDN/>
      <w:adjustRightInd/>
      <w:spacing w:before="120" w:after="120" w:line="240" w:lineRule="atLeast"/>
      <w:ind w:right="-130"/>
      <w:jc w:val="left"/>
      <w:textAlignment w:val="auto"/>
    </w:pPr>
    <w:rPr>
      <w:rFonts w:ascii="Verdana" w:hAnsi="Verdana"/>
      <w:bCs/>
      <w:kern w:val="20"/>
      <w:sz w:val="19"/>
      <w:lang w:eastAsia="en-US"/>
    </w:rPr>
  </w:style>
  <w:style w:type="character" w:customStyle="1" w:styleId="BodyTextChar">
    <w:name w:val="Body Text Char"/>
    <w:basedOn w:val="DefaultParagraphFont"/>
    <w:link w:val="BodyText"/>
    <w:rsid w:val="00B01D2F"/>
    <w:rPr>
      <w:rFonts w:ascii="Verdana" w:hAnsi="Verdana"/>
      <w:bCs/>
      <w:kern w:val="20"/>
      <w:sz w:val="19"/>
      <w:lang w:eastAsia="en-US"/>
    </w:rPr>
  </w:style>
  <w:style w:type="paragraph" w:styleId="PlainText">
    <w:name w:val="Plain Text"/>
    <w:basedOn w:val="Normal"/>
    <w:link w:val="PlainTextChar"/>
    <w:uiPriority w:val="99"/>
    <w:unhideWhenUsed/>
    <w:rsid w:val="00B01D2F"/>
    <w:pPr>
      <w:overflowPunct/>
      <w:autoSpaceDE/>
      <w:autoSpaceDN/>
      <w:adjustRightInd/>
      <w:spacing w:after="0"/>
      <w:jc w:val="left"/>
      <w:textAlignment w:val="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B01D2F"/>
    <w:rPr>
      <w:rFonts w:ascii="Calibri" w:eastAsiaTheme="minorHAnsi" w:hAnsi="Calibri" w:cstheme="minorBidi"/>
      <w:sz w:val="22"/>
      <w:szCs w:val="21"/>
      <w:lang w:eastAsia="en-US"/>
    </w:rPr>
  </w:style>
  <w:style w:type="paragraph" w:styleId="BodyTextIndent">
    <w:name w:val="Body Text Indent"/>
    <w:basedOn w:val="Normal"/>
    <w:link w:val="BodyTextIndentChar"/>
    <w:rsid w:val="00821D0C"/>
    <w:pPr>
      <w:spacing w:after="120"/>
      <w:ind w:left="283"/>
    </w:pPr>
  </w:style>
  <w:style w:type="character" w:customStyle="1" w:styleId="BodyTextIndentChar">
    <w:name w:val="Body Text Indent Char"/>
    <w:basedOn w:val="DefaultParagraphFont"/>
    <w:link w:val="BodyTextIndent"/>
    <w:rsid w:val="00821D0C"/>
    <w:rPr>
      <w:rFonts w:ascii="Arial" w:hAnsi="Arial"/>
      <w:sz w:val="21"/>
    </w:rPr>
  </w:style>
  <w:style w:type="paragraph" w:styleId="ListBullet">
    <w:name w:val="List Bullet"/>
    <w:basedOn w:val="Normal"/>
    <w:unhideWhenUsed/>
    <w:rsid w:val="00821D0C"/>
    <w:pPr>
      <w:numPr>
        <w:numId w:val="27"/>
      </w:numPr>
      <w:overflowPunct/>
      <w:autoSpaceDE/>
      <w:autoSpaceDN/>
      <w:adjustRightInd/>
      <w:spacing w:after="0"/>
      <w:contextualSpacing/>
      <w:jc w:val="left"/>
      <w:textAlignment w:val="auto"/>
    </w:pPr>
    <w:rPr>
      <w:rFonts w:ascii="Verdana" w:hAnsi="Verdana"/>
      <w:sz w:val="20"/>
      <w:lang w:eastAsia="en-US"/>
    </w:rPr>
  </w:style>
  <w:style w:type="character" w:styleId="FollowedHyperlink">
    <w:name w:val="FollowedHyperlink"/>
    <w:basedOn w:val="DefaultParagraphFont"/>
    <w:uiPriority w:val="99"/>
    <w:rsid w:val="0058565B"/>
    <w:rPr>
      <w:color w:val="800080" w:themeColor="followedHyperlink"/>
      <w:u w:val="single"/>
    </w:rPr>
  </w:style>
  <w:style w:type="paragraph" w:styleId="ListBullet2">
    <w:name w:val="List Bullet 2"/>
    <w:basedOn w:val="Normal"/>
    <w:rsid w:val="00992E13"/>
    <w:pPr>
      <w:numPr>
        <w:numId w:val="31"/>
      </w:numPr>
      <w:contextualSpacing/>
    </w:pPr>
  </w:style>
  <w:style w:type="paragraph" w:styleId="Revision">
    <w:name w:val="Revision"/>
    <w:hidden/>
    <w:uiPriority w:val="99"/>
    <w:semiHidden/>
    <w:rsid w:val="00504FC4"/>
    <w:rPr>
      <w:rFonts w:ascii="Arial" w:hAnsi="Arial"/>
      <w:sz w:val="21"/>
    </w:rPr>
  </w:style>
  <w:style w:type="character" w:customStyle="1" w:styleId="color33">
    <w:name w:val="color_33"/>
    <w:basedOn w:val="DefaultParagraphFont"/>
    <w:rsid w:val="00227E85"/>
  </w:style>
  <w:style w:type="paragraph" w:customStyle="1" w:styleId="font8">
    <w:name w:val="font_8"/>
    <w:basedOn w:val="Normal"/>
    <w:rsid w:val="00227E8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Mention1">
    <w:name w:val="Mention1"/>
    <w:basedOn w:val="DefaultParagraphFont"/>
    <w:uiPriority w:val="99"/>
    <w:semiHidden/>
    <w:unhideWhenUsed/>
    <w:rsid w:val="00EB45A7"/>
    <w:rPr>
      <w:color w:val="2B579A"/>
      <w:shd w:val="clear" w:color="auto" w:fill="E6E6E6"/>
    </w:rPr>
  </w:style>
  <w:style w:type="character" w:customStyle="1" w:styleId="UnresolvedMention1">
    <w:name w:val="Unresolved Mention1"/>
    <w:basedOn w:val="DefaultParagraphFont"/>
    <w:uiPriority w:val="99"/>
    <w:semiHidden/>
    <w:unhideWhenUsed/>
    <w:rsid w:val="00E11D55"/>
    <w:rPr>
      <w:color w:val="808080"/>
      <w:shd w:val="clear" w:color="auto" w:fill="E6E6E6"/>
    </w:rPr>
  </w:style>
  <w:style w:type="character" w:styleId="CommentReference">
    <w:name w:val="annotation reference"/>
    <w:basedOn w:val="DefaultParagraphFont"/>
    <w:semiHidden/>
    <w:unhideWhenUsed/>
    <w:rsid w:val="00A100C3"/>
    <w:rPr>
      <w:sz w:val="16"/>
      <w:szCs w:val="16"/>
    </w:rPr>
  </w:style>
  <w:style w:type="paragraph" w:styleId="CommentText">
    <w:name w:val="annotation text"/>
    <w:basedOn w:val="Normal"/>
    <w:link w:val="CommentTextChar"/>
    <w:semiHidden/>
    <w:unhideWhenUsed/>
    <w:rsid w:val="00A100C3"/>
    <w:rPr>
      <w:sz w:val="20"/>
    </w:rPr>
  </w:style>
  <w:style w:type="character" w:customStyle="1" w:styleId="CommentTextChar">
    <w:name w:val="Comment Text Char"/>
    <w:basedOn w:val="DefaultParagraphFont"/>
    <w:link w:val="CommentText"/>
    <w:semiHidden/>
    <w:rsid w:val="00A100C3"/>
    <w:rPr>
      <w:rFonts w:ascii="Arial" w:hAnsi="Arial"/>
    </w:rPr>
  </w:style>
  <w:style w:type="paragraph" w:styleId="CommentSubject">
    <w:name w:val="annotation subject"/>
    <w:basedOn w:val="CommentText"/>
    <w:next w:val="CommentText"/>
    <w:link w:val="CommentSubjectChar"/>
    <w:semiHidden/>
    <w:unhideWhenUsed/>
    <w:rsid w:val="00A100C3"/>
    <w:rPr>
      <w:b/>
      <w:bCs/>
    </w:rPr>
  </w:style>
  <w:style w:type="character" w:customStyle="1" w:styleId="CommentSubjectChar">
    <w:name w:val="Comment Subject Char"/>
    <w:basedOn w:val="CommentTextChar"/>
    <w:link w:val="CommentSubject"/>
    <w:semiHidden/>
    <w:rsid w:val="00A100C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19862">
      <w:bodyDiv w:val="1"/>
      <w:marLeft w:val="0"/>
      <w:marRight w:val="0"/>
      <w:marTop w:val="0"/>
      <w:marBottom w:val="0"/>
      <w:divBdr>
        <w:top w:val="none" w:sz="0" w:space="0" w:color="auto"/>
        <w:left w:val="none" w:sz="0" w:space="0" w:color="auto"/>
        <w:bottom w:val="none" w:sz="0" w:space="0" w:color="auto"/>
        <w:right w:val="none" w:sz="0" w:space="0" w:color="auto"/>
      </w:divBdr>
    </w:div>
    <w:div w:id="695232068">
      <w:bodyDiv w:val="1"/>
      <w:marLeft w:val="0"/>
      <w:marRight w:val="0"/>
      <w:marTop w:val="0"/>
      <w:marBottom w:val="0"/>
      <w:divBdr>
        <w:top w:val="none" w:sz="0" w:space="0" w:color="auto"/>
        <w:left w:val="none" w:sz="0" w:space="0" w:color="auto"/>
        <w:bottom w:val="none" w:sz="0" w:space="0" w:color="auto"/>
        <w:right w:val="none" w:sz="0" w:space="0" w:color="auto"/>
      </w:divBdr>
    </w:div>
    <w:div w:id="760178191">
      <w:bodyDiv w:val="1"/>
      <w:marLeft w:val="0"/>
      <w:marRight w:val="0"/>
      <w:marTop w:val="0"/>
      <w:marBottom w:val="0"/>
      <w:divBdr>
        <w:top w:val="none" w:sz="0" w:space="0" w:color="auto"/>
        <w:left w:val="none" w:sz="0" w:space="0" w:color="auto"/>
        <w:bottom w:val="none" w:sz="0" w:space="0" w:color="auto"/>
        <w:right w:val="none" w:sz="0" w:space="0" w:color="auto"/>
      </w:divBdr>
    </w:div>
    <w:div w:id="1020933732">
      <w:bodyDiv w:val="1"/>
      <w:marLeft w:val="0"/>
      <w:marRight w:val="0"/>
      <w:marTop w:val="0"/>
      <w:marBottom w:val="0"/>
      <w:divBdr>
        <w:top w:val="none" w:sz="0" w:space="0" w:color="auto"/>
        <w:left w:val="none" w:sz="0" w:space="0" w:color="auto"/>
        <w:bottom w:val="none" w:sz="0" w:space="0" w:color="auto"/>
        <w:right w:val="none" w:sz="0" w:space="0" w:color="auto"/>
      </w:divBdr>
    </w:div>
    <w:div w:id="1085029273">
      <w:bodyDiv w:val="1"/>
      <w:marLeft w:val="0"/>
      <w:marRight w:val="0"/>
      <w:marTop w:val="0"/>
      <w:marBottom w:val="0"/>
      <w:divBdr>
        <w:top w:val="none" w:sz="0" w:space="0" w:color="auto"/>
        <w:left w:val="none" w:sz="0" w:space="0" w:color="auto"/>
        <w:bottom w:val="none" w:sz="0" w:space="0" w:color="auto"/>
        <w:right w:val="none" w:sz="0" w:space="0" w:color="auto"/>
      </w:divBdr>
    </w:div>
    <w:div w:id="1151601027">
      <w:bodyDiv w:val="1"/>
      <w:marLeft w:val="0"/>
      <w:marRight w:val="0"/>
      <w:marTop w:val="0"/>
      <w:marBottom w:val="0"/>
      <w:divBdr>
        <w:top w:val="none" w:sz="0" w:space="0" w:color="auto"/>
        <w:left w:val="none" w:sz="0" w:space="0" w:color="auto"/>
        <w:bottom w:val="none" w:sz="0" w:space="0" w:color="auto"/>
        <w:right w:val="none" w:sz="0" w:space="0" w:color="auto"/>
      </w:divBdr>
    </w:div>
    <w:div w:id="1482036966">
      <w:bodyDiv w:val="1"/>
      <w:marLeft w:val="0"/>
      <w:marRight w:val="0"/>
      <w:marTop w:val="0"/>
      <w:marBottom w:val="0"/>
      <w:divBdr>
        <w:top w:val="none" w:sz="0" w:space="0" w:color="auto"/>
        <w:left w:val="none" w:sz="0" w:space="0" w:color="auto"/>
        <w:bottom w:val="none" w:sz="0" w:space="0" w:color="auto"/>
        <w:right w:val="none" w:sz="0" w:space="0" w:color="auto"/>
      </w:divBdr>
    </w:div>
    <w:div w:id="1512455030">
      <w:bodyDiv w:val="1"/>
      <w:marLeft w:val="0"/>
      <w:marRight w:val="0"/>
      <w:marTop w:val="0"/>
      <w:marBottom w:val="0"/>
      <w:divBdr>
        <w:top w:val="none" w:sz="0" w:space="0" w:color="auto"/>
        <w:left w:val="none" w:sz="0" w:space="0" w:color="auto"/>
        <w:bottom w:val="none" w:sz="0" w:space="0" w:color="auto"/>
        <w:right w:val="none" w:sz="0" w:space="0" w:color="auto"/>
      </w:divBdr>
    </w:div>
    <w:div w:id="1556426276">
      <w:bodyDiv w:val="1"/>
      <w:marLeft w:val="0"/>
      <w:marRight w:val="0"/>
      <w:marTop w:val="0"/>
      <w:marBottom w:val="0"/>
      <w:divBdr>
        <w:top w:val="none" w:sz="0" w:space="0" w:color="auto"/>
        <w:left w:val="none" w:sz="0" w:space="0" w:color="auto"/>
        <w:bottom w:val="none" w:sz="0" w:space="0" w:color="auto"/>
        <w:right w:val="none" w:sz="0" w:space="0" w:color="auto"/>
      </w:divBdr>
    </w:div>
    <w:div w:id="1769039027">
      <w:bodyDiv w:val="1"/>
      <w:marLeft w:val="0"/>
      <w:marRight w:val="0"/>
      <w:marTop w:val="0"/>
      <w:marBottom w:val="0"/>
      <w:divBdr>
        <w:top w:val="none" w:sz="0" w:space="0" w:color="auto"/>
        <w:left w:val="none" w:sz="0" w:space="0" w:color="auto"/>
        <w:bottom w:val="none" w:sz="0" w:space="0" w:color="auto"/>
        <w:right w:val="none" w:sz="0" w:space="0" w:color="auto"/>
      </w:divBdr>
    </w:div>
    <w:div w:id="1930969583">
      <w:bodyDiv w:val="1"/>
      <w:marLeft w:val="0"/>
      <w:marRight w:val="0"/>
      <w:marTop w:val="0"/>
      <w:marBottom w:val="0"/>
      <w:divBdr>
        <w:top w:val="none" w:sz="0" w:space="0" w:color="auto"/>
        <w:left w:val="none" w:sz="0" w:space="0" w:color="auto"/>
        <w:bottom w:val="none" w:sz="0" w:space="0" w:color="auto"/>
        <w:right w:val="none" w:sz="0" w:space="0" w:color="auto"/>
      </w:divBdr>
      <w:divsChild>
        <w:div w:id="299772303">
          <w:marLeft w:val="0"/>
          <w:marRight w:val="0"/>
          <w:marTop w:val="0"/>
          <w:marBottom w:val="0"/>
          <w:divBdr>
            <w:top w:val="none" w:sz="0" w:space="0" w:color="auto"/>
            <w:left w:val="none" w:sz="0" w:space="0" w:color="auto"/>
            <w:bottom w:val="none" w:sz="0" w:space="0" w:color="auto"/>
            <w:right w:val="none" w:sz="0" w:space="0" w:color="auto"/>
          </w:divBdr>
          <w:divsChild>
            <w:div w:id="1880506827">
              <w:marLeft w:val="0"/>
              <w:marRight w:val="0"/>
              <w:marTop w:val="0"/>
              <w:marBottom w:val="0"/>
              <w:divBdr>
                <w:top w:val="none" w:sz="0" w:space="0" w:color="auto"/>
                <w:left w:val="none" w:sz="0" w:space="0" w:color="auto"/>
                <w:bottom w:val="none" w:sz="0" w:space="0" w:color="auto"/>
                <w:right w:val="none" w:sz="0" w:space="0" w:color="auto"/>
              </w:divBdr>
              <w:divsChild>
                <w:div w:id="2025478727">
                  <w:marLeft w:val="0"/>
                  <w:marRight w:val="0"/>
                  <w:marTop w:val="105"/>
                  <w:marBottom w:val="0"/>
                  <w:divBdr>
                    <w:top w:val="none" w:sz="0" w:space="0" w:color="auto"/>
                    <w:left w:val="none" w:sz="0" w:space="0" w:color="auto"/>
                    <w:bottom w:val="none" w:sz="0" w:space="0" w:color="auto"/>
                    <w:right w:val="none" w:sz="0" w:space="0" w:color="auto"/>
                  </w:divBdr>
                  <w:divsChild>
                    <w:div w:id="713962426">
                      <w:marLeft w:val="450"/>
                      <w:marRight w:val="225"/>
                      <w:marTop w:val="0"/>
                      <w:marBottom w:val="0"/>
                      <w:divBdr>
                        <w:top w:val="none" w:sz="0" w:space="0" w:color="auto"/>
                        <w:left w:val="none" w:sz="0" w:space="0" w:color="auto"/>
                        <w:bottom w:val="none" w:sz="0" w:space="0" w:color="auto"/>
                        <w:right w:val="none" w:sz="0" w:space="0" w:color="auto"/>
                      </w:divBdr>
                      <w:divsChild>
                        <w:div w:id="1880242051">
                          <w:marLeft w:val="0"/>
                          <w:marRight w:val="0"/>
                          <w:marTop w:val="0"/>
                          <w:marBottom w:val="600"/>
                          <w:divBdr>
                            <w:top w:val="single" w:sz="6" w:space="0" w:color="314664"/>
                            <w:left w:val="single" w:sz="6" w:space="0" w:color="314664"/>
                            <w:bottom w:val="single" w:sz="6" w:space="0" w:color="314664"/>
                            <w:right w:val="single" w:sz="6" w:space="0" w:color="314664"/>
                          </w:divBdr>
                          <w:divsChild>
                            <w:div w:id="736903465">
                              <w:marLeft w:val="0"/>
                              <w:marRight w:val="0"/>
                              <w:marTop w:val="0"/>
                              <w:marBottom w:val="0"/>
                              <w:divBdr>
                                <w:top w:val="none" w:sz="0" w:space="0" w:color="auto"/>
                                <w:left w:val="none" w:sz="0" w:space="0" w:color="auto"/>
                                <w:bottom w:val="none" w:sz="0" w:space="0" w:color="auto"/>
                                <w:right w:val="none" w:sz="0" w:space="0" w:color="auto"/>
                              </w:divBdr>
                              <w:divsChild>
                                <w:div w:id="167060377">
                                  <w:marLeft w:val="0"/>
                                  <w:marRight w:val="0"/>
                                  <w:marTop w:val="0"/>
                                  <w:marBottom w:val="0"/>
                                  <w:divBdr>
                                    <w:top w:val="none" w:sz="0" w:space="0" w:color="auto"/>
                                    <w:left w:val="none" w:sz="0" w:space="0" w:color="auto"/>
                                    <w:bottom w:val="none" w:sz="0" w:space="0" w:color="auto"/>
                                    <w:right w:val="none" w:sz="0" w:space="0" w:color="auto"/>
                                  </w:divBdr>
                                  <w:divsChild>
                                    <w:div w:id="665481397">
                                      <w:marLeft w:val="0"/>
                                      <w:marRight w:val="0"/>
                                      <w:marTop w:val="0"/>
                                      <w:marBottom w:val="0"/>
                                      <w:divBdr>
                                        <w:top w:val="none" w:sz="0" w:space="0" w:color="auto"/>
                                        <w:left w:val="none" w:sz="0" w:space="0" w:color="auto"/>
                                        <w:bottom w:val="none" w:sz="0" w:space="0" w:color="auto"/>
                                        <w:right w:val="none" w:sz="0" w:space="0" w:color="auto"/>
                                      </w:divBdr>
                                      <w:divsChild>
                                        <w:div w:id="74788448">
                                          <w:marLeft w:val="0"/>
                                          <w:marRight w:val="0"/>
                                          <w:marTop w:val="0"/>
                                          <w:marBottom w:val="0"/>
                                          <w:divBdr>
                                            <w:top w:val="none" w:sz="0" w:space="0" w:color="auto"/>
                                            <w:left w:val="none" w:sz="0" w:space="0" w:color="auto"/>
                                            <w:bottom w:val="none" w:sz="0" w:space="0" w:color="auto"/>
                                            <w:right w:val="none" w:sz="0" w:space="0" w:color="auto"/>
                                          </w:divBdr>
                                          <w:divsChild>
                                            <w:div w:id="1823694264">
                                              <w:marLeft w:val="0"/>
                                              <w:marRight w:val="0"/>
                                              <w:marTop w:val="0"/>
                                              <w:marBottom w:val="0"/>
                                              <w:divBdr>
                                                <w:top w:val="none" w:sz="0" w:space="0" w:color="auto"/>
                                                <w:left w:val="none" w:sz="0" w:space="0" w:color="auto"/>
                                                <w:bottom w:val="none" w:sz="0" w:space="0" w:color="auto"/>
                                                <w:right w:val="none" w:sz="0" w:space="0" w:color="auto"/>
                                              </w:divBdr>
                                              <w:divsChild>
                                                <w:div w:id="4131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843368">
      <w:bodyDiv w:val="1"/>
      <w:marLeft w:val="0"/>
      <w:marRight w:val="0"/>
      <w:marTop w:val="0"/>
      <w:marBottom w:val="0"/>
      <w:divBdr>
        <w:top w:val="none" w:sz="0" w:space="0" w:color="auto"/>
        <w:left w:val="none" w:sz="0" w:space="0" w:color="auto"/>
        <w:bottom w:val="none" w:sz="0" w:space="0" w:color="auto"/>
        <w:right w:val="none" w:sz="0" w:space="0" w:color="auto"/>
      </w:divBdr>
    </w:div>
    <w:div w:id="214670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arbourasset.co.nz/" TargetMode="External"/><Relationship Id="rId18" Type="http://schemas.openxmlformats.org/officeDocument/2006/relationships/hyperlink" Target="http://us.spindices.com/regional-exposure/asia-pacific/new-zealand"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isclose-register.companiesoffice.govt.nz/" TargetMode="External"/><Relationship Id="rId7" Type="http://schemas.openxmlformats.org/officeDocument/2006/relationships/endnotes" Target="endnotes.xml"/><Relationship Id="rId12" Type="http://schemas.openxmlformats.org/officeDocument/2006/relationships/hyperlink" Target="https://companies-register.companiesoffice.govt.nz/" TargetMode="External"/><Relationship Id="rId17" Type="http://schemas.openxmlformats.org/officeDocument/2006/relationships/hyperlink" Target="https://disclose-register.companiesoffice.govt.nz/"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fma.govt.nz/" TargetMode="External"/><Relationship Id="rId20" Type="http://schemas.openxmlformats.org/officeDocument/2006/relationships/hyperlink" Target="http://www.ftserussel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close-register.companiesoffice.govt.n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mpanies-register.companiesoffice.govt.nz/"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legislation.govt.nz/" TargetMode="External"/><Relationship Id="rId19" Type="http://schemas.openxmlformats.org/officeDocument/2006/relationships/hyperlink" Target="https://www.msci.com/indexes" TargetMode="External"/><Relationship Id="rId4" Type="http://schemas.openxmlformats.org/officeDocument/2006/relationships/settings" Target="settings.xml"/><Relationship Id="rId9" Type="http://schemas.openxmlformats.org/officeDocument/2006/relationships/hyperlink" Target="https://disclose-register.companiesoffice.govt.nz/" TargetMode="External"/><Relationship Id="rId14" Type="http://schemas.openxmlformats.org/officeDocument/2006/relationships/hyperlink" Target="http://www.ssga.co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BED5C0D2-7BD4-45EE-99EF-7E21545C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52F9EBAD</Template>
  <TotalTime>3</TotalTime>
  <Pages>1</Pages>
  <Words>7621</Words>
  <Characters>43443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Anne Edwards</cp:lastModifiedBy>
  <cp:revision>4</cp:revision>
  <dcterms:created xsi:type="dcterms:W3CDTF">2020-03-17T10:31:00Z</dcterms:created>
  <dcterms:modified xsi:type="dcterms:W3CDTF">2020-03-18T00:03:00Z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DocumentVersion">
    <vt:lpwstr>2</vt:lpwstr>
  </property>
  <property fmtid="{D5CDD505-2E9C-101B-9397-08002B2CF9AE}" pid="3" name="CTDocumentNumber">
    <vt:lpwstr>7688679</vt:lpwstr>
  </property>
  <property fmtid="{D5CDD505-2E9C-101B-9397-08002B2CF9AE}" pid="4" name="CTDocumentMatter">
    <vt:lpwstr>092626162</vt:lpwstr>
  </property>
</Properties>
</file>