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4264" w14:textId="46A09618" w:rsidR="004D186D" w:rsidRPr="004D186D" w:rsidRDefault="00FB3774">
      <w:pPr>
        <w:rPr>
          <w:lang w:val="en-US"/>
        </w:rPr>
        <w:sectPr w:rsidR="004D186D" w:rsidRPr="004D186D" w:rsidSect="00AF158B">
          <w:headerReference w:type="default" r:id="rId11"/>
          <w:footerReference w:type="default" r:id="rId12"/>
          <w:pgSz w:w="11900" w:h="16840"/>
          <w:pgMar w:top="1440" w:right="1440" w:bottom="1440" w:left="1440" w:header="708" w:footer="708" w:gutter="0"/>
          <w:cols w:space="708"/>
          <w:titlePg/>
          <w:docGrid w:linePitch="360"/>
        </w:sectPr>
      </w:pPr>
      <w:r>
        <w:rPr>
          <w:noProof/>
          <w:lang w:val="en-US"/>
        </w:rPr>
        <mc:AlternateContent>
          <mc:Choice Requires="wps">
            <w:drawing>
              <wp:anchor distT="0" distB="0" distL="114300" distR="114300" simplePos="0" relativeHeight="251658245" behindDoc="0" locked="0" layoutInCell="1" allowOverlap="1" wp14:anchorId="19AAE5FF" wp14:editId="62F4A78F">
                <wp:simplePos x="0" y="0"/>
                <wp:positionH relativeFrom="margin">
                  <wp:align>center</wp:align>
                </wp:positionH>
                <wp:positionV relativeFrom="paragraph">
                  <wp:posOffset>8564154</wp:posOffset>
                </wp:positionV>
                <wp:extent cx="4191000" cy="508000"/>
                <wp:effectExtent l="0" t="0" r="0" b="6350"/>
                <wp:wrapNone/>
                <wp:docPr id="288655037" name="Text Box 288655037"/>
                <wp:cNvGraphicFramePr/>
                <a:graphic xmlns:a="http://schemas.openxmlformats.org/drawingml/2006/main">
                  <a:graphicData uri="http://schemas.microsoft.com/office/word/2010/wordprocessingShape">
                    <wps:wsp>
                      <wps:cNvSpPr txBox="1"/>
                      <wps:spPr>
                        <a:xfrm>
                          <a:off x="0" y="0"/>
                          <a:ext cx="4191000" cy="508000"/>
                        </a:xfrm>
                        <a:prstGeom prst="rect">
                          <a:avLst/>
                        </a:prstGeom>
                        <a:noFill/>
                        <a:ln w="6350">
                          <a:noFill/>
                        </a:ln>
                      </wps:spPr>
                      <wps:txbx>
                        <w:txbxContent>
                          <w:p w14:paraId="13311259" w14:textId="0EE9AFFD" w:rsidR="00FB3774" w:rsidRPr="008E42E6" w:rsidRDefault="00FB3774" w:rsidP="00FB3774">
                            <w:pPr>
                              <w:spacing w:line="240" w:lineRule="auto"/>
                              <w:jc w:val="center"/>
                              <w:rPr>
                                <w:color w:val="FFF1DE"/>
                                <w:sz w:val="26"/>
                                <w:szCs w:val="26"/>
                                <w:lang w:val="en-US"/>
                              </w:rPr>
                            </w:pPr>
                            <w:r w:rsidRPr="008E42E6">
                              <w:rPr>
                                <w:color w:val="FFF1DE"/>
                                <w:sz w:val="26"/>
                                <w:szCs w:val="26"/>
                                <w:lang w:val="en-US"/>
                              </w:rPr>
                              <w:t>For the quarter end 3</w:t>
                            </w:r>
                            <w:r w:rsidR="002E7473">
                              <w:rPr>
                                <w:color w:val="FFF1DE"/>
                                <w:sz w:val="26"/>
                                <w:szCs w:val="26"/>
                                <w:lang w:val="en-US"/>
                              </w:rPr>
                              <w:t>1</w:t>
                            </w:r>
                            <w:r w:rsidR="00581154">
                              <w:rPr>
                                <w:color w:val="FFF1DE"/>
                                <w:sz w:val="26"/>
                                <w:szCs w:val="26"/>
                                <w:lang w:val="en-US"/>
                              </w:rPr>
                              <w:t xml:space="preserve"> </w:t>
                            </w:r>
                            <w:r w:rsidR="002E7473">
                              <w:rPr>
                                <w:color w:val="FFF1DE"/>
                                <w:sz w:val="26"/>
                                <w:szCs w:val="26"/>
                                <w:lang w:val="en-US"/>
                              </w:rPr>
                              <w:t>December</w:t>
                            </w:r>
                            <w:r w:rsidR="00581154">
                              <w:rPr>
                                <w:color w:val="FFF1DE"/>
                                <w:sz w:val="26"/>
                                <w:szCs w:val="26"/>
                                <w:lang w:val="en-US"/>
                              </w:rPr>
                              <w:t xml:space="preserve"> </w:t>
                            </w:r>
                            <w:r w:rsidRPr="008E42E6">
                              <w:rPr>
                                <w:color w:val="FFF1DE"/>
                                <w:sz w:val="26"/>
                                <w:szCs w:val="26"/>
                                <w:lang w:val="en-US"/>
                              </w:rPr>
                              <w:t>202</w:t>
                            </w:r>
                            <w:r w:rsidR="00A94155">
                              <w:rPr>
                                <w:color w:val="FFF1DE"/>
                                <w:sz w:val="26"/>
                                <w:szCs w:val="26"/>
                                <w:lang w:val="en-US"/>
                              </w:rPr>
                              <w:t>5</w:t>
                            </w:r>
                          </w:p>
                          <w:p w14:paraId="5C99A68A" w14:textId="5AAB4479" w:rsidR="00FB3774" w:rsidRPr="008E42E6" w:rsidRDefault="00FB3774" w:rsidP="00FB3774">
                            <w:pPr>
                              <w:spacing w:line="240" w:lineRule="auto"/>
                              <w:jc w:val="center"/>
                              <w:rPr>
                                <w:color w:val="FFF1DE"/>
                                <w:sz w:val="26"/>
                                <w:szCs w:val="26"/>
                                <w:lang w:val="en-US"/>
                              </w:rPr>
                            </w:pPr>
                            <w:r w:rsidRPr="008E42E6">
                              <w:rPr>
                                <w:color w:val="FFF1DE"/>
                                <w:sz w:val="26"/>
                                <w:szCs w:val="26"/>
                                <w:lang w:val="en-US"/>
                              </w:rPr>
                              <w:t xml:space="preserve">First made publicly available </w:t>
                            </w:r>
                            <w:r w:rsidR="00EB4A59">
                              <w:rPr>
                                <w:color w:val="FFF1DE"/>
                                <w:sz w:val="26"/>
                                <w:szCs w:val="26"/>
                                <w:lang w:val="en-US"/>
                              </w:rPr>
                              <w:t>1</w:t>
                            </w:r>
                            <w:r w:rsidR="002E7473">
                              <w:rPr>
                                <w:color w:val="FFF1DE"/>
                                <w:sz w:val="26"/>
                                <w:szCs w:val="26"/>
                                <w:lang w:val="en-US"/>
                              </w:rPr>
                              <w:t>3</w:t>
                            </w:r>
                            <w:r w:rsidR="00826C3B">
                              <w:rPr>
                                <w:color w:val="FFF1DE"/>
                                <w:sz w:val="26"/>
                                <w:szCs w:val="26"/>
                                <w:lang w:val="en-US"/>
                              </w:rPr>
                              <w:t xml:space="preserve"> </w:t>
                            </w:r>
                            <w:r w:rsidR="002E7473">
                              <w:rPr>
                                <w:color w:val="FFF1DE"/>
                                <w:sz w:val="26"/>
                                <w:szCs w:val="26"/>
                                <w:lang w:val="en-US"/>
                              </w:rPr>
                              <w:t>February</w:t>
                            </w:r>
                            <w:r w:rsidR="00826C3B">
                              <w:rPr>
                                <w:color w:val="FFF1DE"/>
                                <w:sz w:val="26"/>
                                <w:szCs w:val="26"/>
                                <w:lang w:val="en-US"/>
                              </w:rPr>
                              <w:t xml:space="preserve"> </w:t>
                            </w:r>
                            <w:r w:rsidR="002D1F26">
                              <w:rPr>
                                <w:color w:val="FFF1DE"/>
                                <w:sz w:val="26"/>
                                <w:szCs w:val="26"/>
                                <w:lang w:val="en-US"/>
                              </w:rPr>
                              <w:t>202</w:t>
                            </w:r>
                            <w:r w:rsidR="00055988">
                              <w:rPr>
                                <w:color w:val="FFF1DE"/>
                                <w:sz w:val="26"/>
                                <w:szCs w:val="26"/>
                                <w:lang w:val="en-US"/>
                              </w:rPr>
                              <w:t>5</w:t>
                            </w:r>
                          </w:p>
                          <w:p w14:paraId="0D96DD8B" w14:textId="77777777" w:rsidR="00FB3774" w:rsidRPr="00986663" w:rsidRDefault="00FB3774" w:rsidP="00FB3774">
                            <w:pPr>
                              <w:spacing w:line="240" w:lineRule="auto"/>
                              <w:rPr>
                                <w:sz w:val="18"/>
                                <w:szCs w:val="18"/>
                                <w:lang w:val="en-US"/>
                              </w:rPr>
                            </w:pPr>
                          </w:p>
                          <w:p w14:paraId="6FBDD610" w14:textId="77777777" w:rsidR="00FB3774" w:rsidRPr="00986663" w:rsidRDefault="00FB3774" w:rsidP="00FB3774">
                            <w:pPr>
                              <w:spacing w:line="240" w:lineRule="auto"/>
                              <w:rPr>
                                <w:rFonts w:ascii="PP Neue Montreal Medium" w:hAnsi="PP Neue Montreal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AE5FF" id="_x0000_t202" coordsize="21600,21600" o:spt="202" path="m,l,21600r21600,l21600,xe">
                <v:stroke joinstyle="miter"/>
                <v:path gradientshapeok="t" o:connecttype="rect"/>
              </v:shapetype>
              <v:shape id="Text Box 288655037" o:spid="_x0000_s1026" type="#_x0000_t202" style="position:absolute;margin-left:0;margin-top:674.35pt;width:330pt;height:40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" filled="f" stroked="f" strokeweight=".5pt">
                <v:textbox>
                  <w:txbxContent>
                    <w:p w14:paraId="13311259" w14:textId="0EE9AFFD" w:rsidR="00FB3774" w:rsidRPr="008E42E6" w:rsidRDefault="00FB3774" w:rsidP="00FB3774">
                      <w:pPr>
                        <w:spacing w:line="240" w:lineRule="auto"/>
                        <w:jc w:val="center"/>
                        <w:rPr>
                          <w:color w:val="FFF1DE"/>
                          <w:sz w:val="26"/>
                          <w:szCs w:val="26"/>
                          <w:lang w:val="en-US"/>
                        </w:rPr>
                      </w:pPr>
                      <w:r w:rsidRPr="008E42E6">
                        <w:rPr>
                          <w:color w:val="FFF1DE"/>
                          <w:sz w:val="26"/>
                          <w:szCs w:val="26"/>
                          <w:lang w:val="en-US"/>
                        </w:rPr>
                        <w:t>For the quarter end 3</w:t>
                      </w:r>
                      <w:r w:rsidR="002E7473">
                        <w:rPr>
                          <w:color w:val="FFF1DE"/>
                          <w:sz w:val="26"/>
                          <w:szCs w:val="26"/>
                          <w:lang w:val="en-US"/>
                        </w:rPr>
                        <w:t>1</w:t>
                      </w:r>
                      <w:r w:rsidR="00581154">
                        <w:rPr>
                          <w:color w:val="FFF1DE"/>
                          <w:sz w:val="26"/>
                          <w:szCs w:val="26"/>
                          <w:lang w:val="en-US"/>
                        </w:rPr>
                        <w:t xml:space="preserve"> </w:t>
                      </w:r>
                      <w:r w:rsidR="002E7473">
                        <w:rPr>
                          <w:color w:val="FFF1DE"/>
                          <w:sz w:val="26"/>
                          <w:szCs w:val="26"/>
                          <w:lang w:val="en-US"/>
                        </w:rPr>
                        <w:t>December</w:t>
                      </w:r>
                      <w:r w:rsidR="00581154">
                        <w:rPr>
                          <w:color w:val="FFF1DE"/>
                          <w:sz w:val="26"/>
                          <w:szCs w:val="26"/>
                          <w:lang w:val="en-US"/>
                        </w:rPr>
                        <w:t xml:space="preserve"> </w:t>
                      </w:r>
                      <w:r w:rsidRPr="008E42E6">
                        <w:rPr>
                          <w:color w:val="FFF1DE"/>
                          <w:sz w:val="26"/>
                          <w:szCs w:val="26"/>
                          <w:lang w:val="en-US"/>
                        </w:rPr>
                        <w:t>202</w:t>
                      </w:r>
                      <w:r w:rsidR="00A94155">
                        <w:rPr>
                          <w:color w:val="FFF1DE"/>
                          <w:sz w:val="26"/>
                          <w:szCs w:val="26"/>
                          <w:lang w:val="en-US"/>
                        </w:rPr>
                        <w:t>5</w:t>
                      </w:r>
                    </w:p>
                    <w:p w14:paraId="5C99A68A" w14:textId="5AAB4479" w:rsidR="00FB3774" w:rsidRPr="008E42E6" w:rsidRDefault="00FB3774" w:rsidP="00FB3774">
                      <w:pPr>
                        <w:spacing w:line="240" w:lineRule="auto"/>
                        <w:jc w:val="center"/>
                        <w:rPr>
                          <w:color w:val="FFF1DE"/>
                          <w:sz w:val="26"/>
                          <w:szCs w:val="26"/>
                          <w:lang w:val="en-US"/>
                        </w:rPr>
                      </w:pPr>
                      <w:r w:rsidRPr="008E42E6">
                        <w:rPr>
                          <w:color w:val="FFF1DE"/>
                          <w:sz w:val="26"/>
                          <w:szCs w:val="26"/>
                          <w:lang w:val="en-US"/>
                        </w:rPr>
                        <w:t xml:space="preserve">First made publicly available </w:t>
                      </w:r>
                      <w:r w:rsidR="00EB4A59">
                        <w:rPr>
                          <w:color w:val="FFF1DE"/>
                          <w:sz w:val="26"/>
                          <w:szCs w:val="26"/>
                          <w:lang w:val="en-US"/>
                        </w:rPr>
                        <w:t>1</w:t>
                      </w:r>
                      <w:r w:rsidR="002E7473">
                        <w:rPr>
                          <w:color w:val="FFF1DE"/>
                          <w:sz w:val="26"/>
                          <w:szCs w:val="26"/>
                          <w:lang w:val="en-US"/>
                        </w:rPr>
                        <w:t>3</w:t>
                      </w:r>
                      <w:r w:rsidR="00826C3B">
                        <w:rPr>
                          <w:color w:val="FFF1DE"/>
                          <w:sz w:val="26"/>
                          <w:szCs w:val="26"/>
                          <w:lang w:val="en-US"/>
                        </w:rPr>
                        <w:t xml:space="preserve"> </w:t>
                      </w:r>
                      <w:r w:rsidR="002E7473">
                        <w:rPr>
                          <w:color w:val="FFF1DE"/>
                          <w:sz w:val="26"/>
                          <w:szCs w:val="26"/>
                          <w:lang w:val="en-US"/>
                        </w:rPr>
                        <w:t>February</w:t>
                      </w:r>
                      <w:r w:rsidR="00826C3B">
                        <w:rPr>
                          <w:color w:val="FFF1DE"/>
                          <w:sz w:val="26"/>
                          <w:szCs w:val="26"/>
                          <w:lang w:val="en-US"/>
                        </w:rPr>
                        <w:t xml:space="preserve"> </w:t>
                      </w:r>
                      <w:r w:rsidR="002D1F26">
                        <w:rPr>
                          <w:color w:val="FFF1DE"/>
                          <w:sz w:val="26"/>
                          <w:szCs w:val="26"/>
                          <w:lang w:val="en-US"/>
                        </w:rPr>
                        <w:t>202</w:t>
                      </w:r>
                      <w:r w:rsidR="00055988">
                        <w:rPr>
                          <w:color w:val="FFF1DE"/>
                          <w:sz w:val="26"/>
                          <w:szCs w:val="26"/>
                          <w:lang w:val="en-US"/>
                        </w:rPr>
                        <w:t>5</w:t>
                      </w:r>
                    </w:p>
                    <w:p w14:paraId="0D96DD8B" w14:textId="77777777" w:rsidR="00FB3774" w:rsidRPr="00986663" w:rsidRDefault="00FB3774" w:rsidP="00FB3774">
                      <w:pPr>
                        <w:spacing w:line="240" w:lineRule="auto"/>
                        <w:rPr>
                          <w:sz w:val="18"/>
                          <w:szCs w:val="18"/>
                          <w:lang w:val="en-US"/>
                        </w:rPr>
                      </w:pPr>
                    </w:p>
                    <w:p w14:paraId="6FBDD610" w14:textId="77777777" w:rsidR="00FB3774" w:rsidRPr="00986663" w:rsidRDefault="00FB3774" w:rsidP="00FB3774">
                      <w:pPr>
                        <w:spacing w:line="240" w:lineRule="auto"/>
                        <w:rPr>
                          <w:rFonts w:ascii="PP Neue Montreal Medium" w:hAnsi="PP Neue Montreal Medium"/>
                          <w:sz w:val="16"/>
                          <w:szCs w:val="16"/>
                          <w:lang w:val="en-US"/>
                        </w:rPr>
                      </w:pPr>
                    </w:p>
                  </w:txbxContent>
                </v:textbox>
                <w10:wrap anchorx="margin"/>
              </v:shape>
            </w:pict>
          </mc:Fallback>
        </mc:AlternateContent>
      </w:r>
      <w:r w:rsidR="00DD704B">
        <w:rPr>
          <w:noProof/>
          <w:lang w:val="en-US"/>
        </w:rPr>
        <w:drawing>
          <wp:anchor distT="0" distB="0" distL="114300" distR="114300" simplePos="0" relativeHeight="251658244" behindDoc="1" locked="0" layoutInCell="1" allowOverlap="1" wp14:anchorId="1A478AA3" wp14:editId="27B8B102">
            <wp:simplePos x="0" y="0"/>
            <wp:positionH relativeFrom="page">
              <wp:align>left</wp:align>
            </wp:positionH>
            <wp:positionV relativeFrom="margin">
              <wp:align>center</wp:align>
            </wp:positionV>
            <wp:extent cx="7601874" cy="10744835"/>
            <wp:effectExtent l="0" t="0" r="0" b="0"/>
            <wp:wrapSquare wrapText="bothSides"/>
            <wp:docPr id="2128869858" name="Picture 212886985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69858" name="Picture 2128869858"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1874" cy="10744835"/>
                    </a:xfrm>
                    <a:prstGeom prst="rect">
                      <a:avLst/>
                    </a:prstGeom>
                  </pic:spPr>
                </pic:pic>
              </a:graphicData>
            </a:graphic>
            <wp14:sizeRelH relativeFrom="margin">
              <wp14:pctWidth>0</wp14:pctWidth>
            </wp14:sizeRelH>
            <wp14:sizeRelV relativeFrom="margin">
              <wp14:pctHeight>0</wp14:pctHeight>
            </wp14:sizeRelV>
          </wp:anchor>
        </w:drawing>
      </w:r>
      <w:r w:rsidR="00BF0392">
        <w:rPr>
          <w:noProof/>
          <w:lang w:val="en-US"/>
        </w:rPr>
        <mc:AlternateContent>
          <mc:Choice Requires="wps">
            <w:drawing>
              <wp:anchor distT="0" distB="0" distL="114300" distR="114300" simplePos="0" relativeHeight="251658241" behindDoc="0" locked="0" layoutInCell="1" allowOverlap="1" wp14:anchorId="35F3AC93" wp14:editId="60306662">
                <wp:simplePos x="0" y="0"/>
                <wp:positionH relativeFrom="column">
                  <wp:posOffset>3873500</wp:posOffset>
                </wp:positionH>
                <wp:positionV relativeFrom="paragraph">
                  <wp:posOffset>8779510</wp:posOffset>
                </wp:positionV>
                <wp:extent cx="1257300" cy="355600"/>
                <wp:effectExtent l="0" t="0" r="0" b="0"/>
                <wp:wrapNone/>
                <wp:docPr id="1817773120" name="Text Box 1817773120"/>
                <wp:cNvGraphicFramePr/>
                <a:graphic xmlns:a="http://schemas.openxmlformats.org/drawingml/2006/main">
                  <a:graphicData uri="http://schemas.microsoft.com/office/word/2010/wordprocessingShape">
                    <wps:wsp>
                      <wps:cNvSpPr txBox="1"/>
                      <wps:spPr>
                        <a:xfrm>
                          <a:off x="0" y="0"/>
                          <a:ext cx="1257300" cy="355600"/>
                        </a:xfrm>
                        <a:prstGeom prst="rect">
                          <a:avLst/>
                        </a:prstGeom>
                        <a:noFill/>
                        <a:ln w="6350">
                          <a:noFill/>
                        </a:ln>
                      </wps:spPr>
                      <wps:txbx>
                        <w:txbxContent>
                          <w:p w14:paraId="6C2CABA0" w14:textId="77777777" w:rsidR="00117CD3" w:rsidRPr="00D921AD" w:rsidRDefault="00E7156A" w:rsidP="007241F8">
                            <w:pPr>
                              <w:spacing w:line="240" w:lineRule="auto"/>
                              <w:rPr>
                                <w:color w:val="FFF1DE"/>
                                <w:sz w:val="18"/>
                                <w:szCs w:val="18"/>
                                <w:lang w:val="en-US"/>
                              </w:rPr>
                            </w:pPr>
                            <w:r w:rsidRPr="00D921AD">
                              <w:rPr>
                                <w:color w:val="FFF1DE"/>
                                <w:sz w:val="18"/>
                                <w:szCs w:val="18"/>
                                <w:lang w:val="en-US"/>
                              </w:rPr>
                              <w:t xml:space="preserve">For </w:t>
                            </w:r>
                            <w:r w:rsidR="00463089" w:rsidRPr="00D921AD">
                              <w:rPr>
                                <w:color w:val="FFF1DE"/>
                                <w:sz w:val="18"/>
                                <w:szCs w:val="18"/>
                                <w:lang w:val="en-US"/>
                              </w:rPr>
                              <w:t xml:space="preserve">the </w:t>
                            </w:r>
                            <w:r w:rsidRPr="00D921AD">
                              <w:rPr>
                                <w:color w:val="FFF1DE"/>
                                <w:sz w:val="18"/>
                                <w:szCs w:val="18"/>
                                <w:lang w:val="en-US"/>
                              </w:rPr>
                              <w:t>quarter</w:t>
                            </w:r>
                            <w:r w:rsidR="00463089" w:rsidRPr="00D921AD">
                              <w:rPr>
                                <w:color w:val="FFF1DE"/>
                                <w:sz w:val="18"/>
                                <w:szCs w:val="18"/>
                                <w:lang w:val="en-US"/>
                              </w:rPr>
                              <w:t xml:space="preserve"> end </w:t>
                            </w:r>
                          </w:p>
                          <w:p w14:paraId="08C11330" w14:textId="77777777" w:rsidR="00E7156A" w:rsidRPr="00D921AD" w:rsidRDefault="00463089" w:rsidP="007241F8">
                            <w:pPr>
                              <w:spacing w:line="240" w:lineRule="auto"/>
                              <w:rPr>
                                <w:color w:val="FFF1DE"/>
                                <w:sz w:val="18"/>
                                <w:szCs w:val="18"/>
                                <w:lang w:val="en-US"/>
                              </w:rPr>
                            </w:pPr>
                            <w:r w:rsidRPr="00D921AD">
                              <w:rPr>
                                <w:color w:val="FFF1DE"/>
                                <w:sz w:val="18"/>
                                <w:szCs w:val="18"/>
                                <w:lang w:val="en-US"/>
                              </w:rPr>
                              <w:t>31 March 2023</w:t>
                            </w:r>
                          </w:p>
                          <w:p w14:paraId="7209C7DD" w14:textId="77777777" w:rsidR="00117CD3" w:rsidRPr="00117CD3" w:rsidRDefault="00117CD3" w:rsidP="007241F8">
                            <w:pPr>
                              <w:spacing w:line="240" w:lineRule="auto"/>
                              <w:rPr>
                                <w:rFonts w:ascii="PP Neue Montreal Medium" w:hAnsi="PP Neue Montreal Medium"/>
                                <w:color w:val="FFF1DE"/>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AC93" id="Text Box 1817773120" o:spid="_x0000_s1027" type="#_x0000_t202" style="position:absolute;margin-left:305pt;margin-top:691.3pt;width:99pt;height: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0EFw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" filled="f" stroked="f" strokeweight=".5pt">
                <v:textbox>
                  <w:txbxContent>
                    <w:p w14:paraId="6C2CABA0" w14:textId="77777777" w:rsidR="00117CD3" w:rsidRPr="00D921AD" w:rsidRDefault="00E7156A" w:rsidP="007241F8">
                      <w:pPr>
                        <w:spacing w:line="240" w:lineRule="auto"/>
                        <w:rPr>
                          <w:color w:val="FFF1DE"/>
                          <w:sz w:val="18"/>
                          <w:szCs w:val="18"/>
                          <w:lang w:val="en-US"/>
                        </w:rPr>
                      </w:pPr>
                      <w:r w:rsidRPr="00D921AD">
                        <w:rPr>
                          <w:color w:val="FFF1DE"/>
                          <w:sz w:val="18"/>
                          <w:szCs w:val="18"/>
                          <w:lang w:val="en-US"/>
                        </w:rPr>
                        <w:t xml:space="preserve">For </w:t>
                      </w:r>
                      <w:r w:rsidR="00463089" w:rsidRPr="00D921AD">
                        <w:rPr>
                          <w:color w:val="FFF1DE"/>
                          <w:sz w:val="18"/>
                          <w:szCs w:val="18"/>
                          <w:lang w:val="en-US"/>
                        </w:rPr>
                        <w:t xml:space="preserve">the </w:t>
                      </w:r>
                      <w:r w:rsidRPr="00D921AD">
                        <w:rPr>
                          <w:color w:val="FFF1DE"/>
                          <w:sz w:val="18"/>
                          <w:szCs w:val="18"/>
                          <w:lang w:val="en-US"/>
                        </w:rPr>
                        <w:t>quarter</w:t>
                      </w:r>
                      <w:r w:rsidR="00463089" w:rsidRPr="00D921AD">
                        <w:rPr>
                          <w:color w:val="FFF1DE"/>
                          <w:sz w:val="18"/>
                          <w:szCs w:val="18"/>
                          <w:lang w:val="en-US"/>
                        </w:rPr>
                        <w:t xml:space="preserve"> end </w:t>
                      </w:r>
                    </w:p>
                    <w:p w14:paraId="08C11330" w14:textId="77777777" w:rsidR="00E7156A" w:rsidRPr="00D921AD" w:rsidRDefault="00463089" w:rsidP="007241F8">
                      <w:pPr>
                        <w:spacing w:line="240" w:lineRule="auto"/>
                        <w:rPr>
                          <w:color w:val="FFF1DE"/>
                          <w:sz w:val="18"/>
                          <w:szCs w:val="18"/>
                          <w:lang w:val="en-US"/>
                        </w:rPr>
                      </w:pPr>
                      <w:r w:rsidRPr="00D921AD">
                        <w:rPr>
                          <w:color w:val="FFF1DE"/>
                          <w:sz w:val="18"/>
                          <w:szCs w:val="18"/>
                          <w:lang w:val="en-US"/>
                        </w:rPr>
                        <w:t>31 March 2023</w:t>
                      </w:r>
                    </w:p>
                    <w:p w14:paraId="7209C7DD" w14:textId="77777777" w:rsidR="00117CD3" w:rsidRPr="00117CD3" w:rsidRDefault="00117CD3" w:rsidP="007241F8">
                      <w:pPr>
                        <w:spacing w:line="240" w:lineRule="auto"/>
                        <w:rPr>
                          <w:rFonts w:ascii="PP Neue Montreal Medium" w:hAnsi="PP Neue Montreal Medium"/>
                          <w:color w:val="FFF1DE"/>
                          <w:sz w:val="16"/>
                          <w:szCs w:val="16"/>
                          <w:lang w:val="en-US"/>
                        </w:rPr>
                      </w:pPr>
                    </w:p>
                  </w:txbxContent>
                </v:textbox>
              </v:shape>
            </w:pict>
          </mc:Fallback>
        </mc:AlternateContent>
      </w:r>
      <w:r w:rsidR="00BF0392">
        <w:rPr>
          <w:noProof/>
          <w:lang w:val="en-US"/>
        </w:rPr>
        <mc:AlternateContent>
          <mc:Choice Requires="wps">
            <w:drawing>
              <wp:anchor distT="0" distB="0" distL="114300" distR="114300" simplePos="0" relativeHeight="251658243" behindDoc="0" locked="0" layoutInCell="1" allowOverlap="1" wp14:anchorId="65BA2802" wp14:editId="319DD3E2">
                <wp:simplePos x="0" y="0"/>
                <wp:positionH relativeFrom="column">
                  <wp:posOffset>5051848</wp:posOffset>
                </wp:positionH>
                <wp:positionV relativeFrom="paragraph">
                  <wp:posOffset>8779510</wp:posOffset>
                </wp:positionV>
                <wp:extent cx="1329055" cy="508000"/>
                <wp:effectExtent l="0" t="0" r="0" b="0"/>
                <wp:wrapNone/>
                <wp:docPr id="1394272258" name="Text Box 1394272258"/>
                <wp:cNvGraphicFramePr/>
                <a:graphic xmlns:a="http://schemas.openxmlformats.org/drawingml/2006/main">
                  <a:graphicData uri="http://schemas.microsoft.com/office/word/2010/wordprocessingShape">
                    <wps:wsp>
                      <wps:cNvSpPr txBox="1"/>
                      <wps:spPr>
                        <a:xfrm>
                          <a:off x="0" y="0"/>
                          <a:ext cx="1329055" cy="508000"/>
                        </a:xfrm>
                        <a:prstGeom prst="rect">
                          <a:avLst/>
                        </a:prstGeom>
                        <a:noFill/>
                        <a:ln w="6350">
                          <a:noFill/>
                        </a:ln>
                      </wps:spPr>
                      <wps:txbx>
                        <w:txbxContent>
                          <w:p w14:paraId="0F721C4D" w14:textId="1BA0E154" w:rsidR="00BF0392" w:rsidRPr="00D921AD" w:rsidRDefault="00BF0392" w:rsidP="00BF0392">
                            <w:pPr>
                              <w:spacing w:line="240" w:lineRule="auto"/>
                              <w:rPr>
                                <w:color w:val="FFF1DE"/>
                                <w:sz w:val="18"/>
                                <w:szCs w:val="18"/>
                                <w:lang w:val="en-US"/>
                              </w:rPr>
                            </w:pPr>
                            <w:r>
                              <w:rPr>
                                <w:color w:val="FFF1DE"/>
                                <w:sz w:val="18"/>
                                <w:szCs w:val="18"/>
                                <w:lang w:val="en-US"/>
                              </w:rPr>
                              <w:t xml:space="preserve">First made publicly available </w:t>
                            </w:r>
                            <w:r w:rsidRPr="00D921AD">
                              <w:rPr>
                                <w:color w:val="FFF1DE"/>
                                <w:sz w:val="18"/>
                                <w:szCs w:val="18"/>
                                <w:lang w:val="en-US"/>
                              </w:rPr>
                              <w:t>3 May 2023</w:t>
                            </w:r>
                          </w:p>
                          <w:p w14:paraId="27B460AF" w14:textId="77777777" w:rsidR="00117CD3" w:rsidRPr="00D921AD" w:rsidRDefault="00117CD3" w:rsidP="007241F8">
                            <w:pPr>
                              <w:spacing w:line="240" w:lineRule="auto"/>
                              <w:rPr>
                                <w:color w:val="FFF1DE"/>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A2802" id="Text Box 1394272258" o:spid="_x0000_s1028" type="#_x0000_t202" style="position:absolute;margin-left:397.8pt;margin-top:691.3pt;width:104.65pt;height:4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" filled="f" stroked="f" strokeweight=".5pt">
                <v:textbox>
                  <w:txbxContent>
                    <w:p w14:paraId="0F721C4D" w14:textId="1BA0E154" w:rsidR="00BF0392" w:rsidRPr="00D921AD" w:rsidRDefault="00BF0392" w:rsidP="00BF0392">
                      <w:pPr>
                        <w:spacing w:line="240" w:lineRule="auto"/>
                        <w:rPr>
                          <w:color w:val="FFF1DE"/>
                          <w:sz w:val="18"/>
                          <w:szCs w:val="18"/>
                          <w:lang w:val="en-US"/>
                        </w:rPr>
                      </w:pPr>
                      <w:r>
                        <w:rPr>
                          <w:color w:val="FFF1DE"/>
                          <w:sz w:val="18"/>
                          <w:szCs w:val="18"/>
                          <w:lang w:val="en-US"/>
                        </w:rPr>
                        <w:t xml:space="preserve">First made publicly available </w:t>
                      </w:r>
                      <w:r w:rsidRPr="00D921AD">
                        <w:rPr>
                          <w:color w:val="FFF1DE"/>
                          <w:sz w:val="18"/>
                          <w:szCs w:val="18"/>
                          <w:lang w:val="en-US"/>
                        </w:rPr>
                        <w:t>3 May 2023</w:t>
                      </w:r>
                    </w:p>
                    <w:p w14:paraId="27B460AF" w14:textId="77777777" w:rsidR="00117CD3" w:rsidRPr="00D921AD" w:rsidRDefault="00117CD3" w:rsidP="007241F8">
                      <w:pPr>
                        <w:spacing w:line="240" w:lineRule="auto"/>
                        <w:rPr>
                          <w:color w:val="FFF1DE"/>
                          <w:sz w:val="16"/>
                          <w:szCs w:val="16"/>
                          <w:lang w:val="en-US"/>
                        </w:rPr>
                      </w:pPr>
                    </w:p>
                  </w:txbxContent>
                </v:textbox>
              </v:shape>
            </w:pict>
          </mc:Fallback>
        </mc:AlternateContent>
      </w:r>
      <w:r w:rsidR="00D710B9">
        <w:rPr>
          <w:noProof/>
          <w:lang w:val="en-US"/>
        </w:rPr>
        <w:drawing>
          <wp:anchor distT="0" distB="0" distL="114300" distR="114300" simplePos="0" relativeHeight="251658242" behindDoc="0" locked="0" layoutInCell="1" allowOverlap="1" wp14:anchorId="66646B88" wp14:editId="6783657A">
            <wp:simplePos x="0" y="0"/>
            <wp:positionH relativeFrom="page">
              <wp:posOffset>-12700</wp:posOffset>
            </wp:positionH>
            <wp:positionV relativeFrom="page">
              <wp:posOffset>10769600</wp:posOffset>
            </wp:positionV>
            <wp:extent cx="7609840" cy="10756265"/>
            <wp:effectExtent l="0" t="0" r="0" b="635"/>
            <wp:wrapSquare wrapText="bothSides"/>
            <wp:docPr id="376956075" name="Picture 37695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56075"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09840" cy="10756265"/>
                    </a:xfrm>
                    <a:prstGeom prst="rect">
                      <a:avLst/>
                    </a:prstGeom>
                  </pic:spPr>
                </pic:pic>
              </a:graphicData>
            </a:graphic>
            <wp14:sizeRelH relativeFrom="margin">
              <wp14:pctWidth>0</wp14:pctWidth>
            </wp14:sizeRelH>
            <wp14:sizeRelV relativeFrom="margin">
              <wp14:pctHeight>0</wp14:pctHeight>
            </wp14:sizeRelV>
          </wp:anchor>
        </w:drawing>
      </w:r>
    </w:p>
    <w:p w14:paraId="278A4E08" w14:textId="77777777" w:rsidR="00A062D7" w:rsidRPr="000D1EB3" w:rsidRDefault="00A062D7" w:rsidP="00A062D7">
      <w:pPr>
        <w:rPr>
          <w:rStyle w:val="Heading1Char"/>
          <w:rFonts w:ascii="PP Neue Montreal" w:hAnsi="PP Neue Montreal"/>
        </w:rPr>
      </w:pPr>
      <w:r w:rsidRPr="000D1EB3">
        <w:rPr>
          <w:rStyle w:val="Heading1Char"/>
          <w:rFonts w:ascii="PP Neue Montreal" w:hAnsi="PP Neue Montreal"/>
        </w:rPr>
        <w:lastRenderedPageBreak/>
        <w:t>Fund Update for:</w:t>
      </w:r>
    </w:p>
    <w:p w14:paraId="7FE0619E" w14:textId="77777777" w:rsidR="00A062D7" w:rsidRPr="000D1EB3" w:rsidRDefault="00A062D7" w:rsidP="00A062D7">
      <w:pPr>
        <w:rPr>
          <w:rStyle w:val="Heading1Char"/>
          <w:rFonts w:ascii="PP Neue Montreal" w:hAnsi="PP Neue Montreal"/>
        </w:rPr>
      </w:pPr>
      <w:r w:rsidRPr="000D1EB3">
        <w:rPr>
          <w:rStyle w:val="Heading1Char"/>
          <w:rFonts w:ascii="PP Neue Montreal" w:hAnsi="PP Neue Montreal"/>
        </w:rPr>
        <w:t>the Pathfinder Managed Investment Scheme</w:t>
      </w:r>
    </w:p>
    <w:p w14:paraId="30844FBC" w14:textId="77777777" w:rsidR="00A062D7" w:rsidRPr="000D1EB3" w:rsidRDefault="00A062D7" w:rsidP="00A062D7">
      <w:pPr>
        <w:rPr>
          <w:rStyle w:val="Heading1Char"/>
          <w:rFonts w:ascii="PP Neue Montreal" w:hAnsi="PP Neue Montreal"/>
        </w:rPr>
      </w:pPr>
      <w:r w:rsidRPr="000D1EB3">
        <w:rPr>
          <w:rStyle w:val="Heading1Char"/>
          <w:rFonts w:ascii="PP Neue Montreal" w:hAnsi="PP Neue Montreal"/>
        </w:rPr>
        <w:t>Pathfinder Ethical Growth Fund</w:t>
      </w:r>
    </w:p>
    <w:p w14:paraId="4DEDE194" w14:textId="0781990C" w:rsidR="000D6CE4" w:rsidRPr="008C1BD4" w:rsidRDefault="000D6CE4" w:rsidP="00A062D7">
      <w:pPr>
        <w:rPr>
          <w:color w:val="80A3C5"/>
        </w:rPr>
      </w:pPr>
      <w:r w:rsidRPr="008C1BD4">
        <w:rPr>
          <w:color w:val="80A3C5"/>
        </w:rPr>
        <w:t xml:space="preserve">Quarter ended </w:t>
      </w:r>
      <w:r w:rsidR="009E1DD4">
        <w:rPr>
          <w:color w:val="80A3C5"/>
        </w:rPr>
        <w:t>3</w:t>
      </w:r>
      <w:r w:rsidR="002E7473">
        <w:rPr>
          <w:color w:val="80A3C5"/>
        </w:rPr>
        <w:t>1</w:t>
      </w:r>
      <w:r w:rsidR="003A2156">
        <w:rPr>
          <w:color w:val="80A3C5"/>
        </w:rPr>
        <w:t xml:space="preserve"> </w:t>
      </w:r>
      <w:r w:rsidR="002E7473">
        <w:rPr>
          <w:color w:val="80A3C5"/>
        </w:rPr>
        <w:t>December</w:t>
      </w:r>
      <w:r w:rsidR="003A2156">
        <w:rPr>
          <w:color w:val="80A3C5"/>
        </w:rPr>
        <w:t xml:space="preserve"> </w:t>
      </w:r>
      <w:r w:rsidRPr="008C1BD4">
        <w:rPr>
          <w:color w:val="80A3C5"/>
        </w:rPr>
        <w:t>202</w:t>
      </w:r>
      <w:r w:rsidR="00BF208A">
        <w:rPr>
          <w:color w:val="80A3C5"/>
        </w:rPr>
        <w:t>5</w:t>
      </w:r>
    </w:p>
    <w:p w14:paraId="39F3D9F6" w14:textId="3368FD9E" w:rsidR="00D54E7B" w:rsidRPr="000D1EB3" w:rsidRDefault="000D6CE4" w:rsidP="00D54E7B">
      <w:pPr>
        <w:pStyle w:val="Pathfinderbodycopyblue"/>
        <w:rPr>
          <w:rStyle w:val="Heading1Char"/>
          <w:rFonts w:ascii="PP Neue Montreal" w:hAnsi="PP Neue Montreal"/>
        </w:rPr>
      </w:pPr>
      <w:r w:rsidRPr="000D1EB3">
        <w:t xml:space="preserve">This fund update was first made publicly available on </w:t>
      </w:r>
      <w:r w:rsidR="00EB4A59">
        <w:t>1</w:t>
      </w:r>
      <w:r w:rsidR="002E7473">
        <w:t>3</w:t>
      </w:r>
      <w:r w:rsidR="002F1175">
        <w:t xml:space="preserve"> </w:t>
      </w:r>
      <w:r w:rsidR="002E7473">
        <w:t>February</w:t>
      </w:r>
      <w:r w:rsidR="002F1175">
        <w:t xml:space="preserve"> </w:t>
      </w:r>
      <w:r w:rsidR="00996A92">
        <w:t>202</w:t>
      </w:r>
      <w:r w:rsidR="007F5DE7">
        <w:t>5</w:t>
      </w:r>
      <w:r w:rsidRPr="000D1EB3">
        <w:t>.</w:t>
      </w:r>
    </w:p>
    <w:p w14:paraId="5AFD7B1F" w14:textId="77777777" w:rsidR="00D54E7B" w:rsidRPr="000D1EB3" w:rsidRDefault="00D54E7B" w:rsidP="001530D0">
      <w:pPr>
        <w:rPr>
          <w:rStyle w:val="Heading1Char"/>
          <w:rFonts w:ascii="PP Neue Montreal" w:hAnsi="PP Neue Montreal"/>
        </w:rPr>
      </w:pPr>
    </w:p>
    <w:p w14:paraId="49693C69" w14:textId="77777777" w:rsidR="001530D0" w:rsidRPr="000D1EB3" w:rsidRDefault="001530D0" w:rsidP="001530D0">
      <w:pPr>
        <w:rPr>
          <w:rStyle w:val="Heading1Char"/>
          <w:rFonts w:ascii="PP Neue Montreal" w:hAnsi="PP Neue Montreal"/>
        </w:rPr>
      </w:pPr>
      <w:r w:rsidRPr="000D1EB3">
        <w:rPr>
          <w:rStyle w:val="Heading1Char"/>
          <w:rFonts w:ascii="PP Neue Montreal" w:hAnsi="PP Neue Montreal"/>
          <w:noProof/>
        </w:rPr>
        <w:drawing>
          <wp:anchor distT="0" distB="0" distL="114300" distR="114300" simplePos="0" relativeHeight="251658240" behindDoc="1" locked="1" layoutInCell="1" allowOverlap="1" wp14:anchorId="36D8E119" wp14:editId="79518632">
            <wp:simplePos x="0" y="0"/>
            <wp:positionH relativeFrom="page">
              <wp:posOffset>8255</wp:posOffset>
            </wp:positionH>
            <wp:positionV relativeFrom="page">
              <wp:posOffset>-7620</wp:posOffset>
            </wp:positionV>
            <wp:extent cx="7559040" cy="9808210"/>
            <wp:effectExtent l="0" t="0" r="3810" b="2540"/>
            <wp:wrapNone/>
            <wp:docPr id="850520938" name="Picture 850520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20938" name="Picture 9"/>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1EB3">
        <w:rPr>
          <w:rStyle w:val="Heading1Char"/>
          <w:rFonts w:ascii="PP Neue Montreal" w:hAnsi="PP Neue Montreal"/>
        </w:rPr>
        <w:t>What is the purpose of this update?</w:t>
      </w:r>
    </w:p>
    <w:p w14:paraId="653F746A" w14:textId="77777777" w:rsidR="00D54E7B" w:rsidRPr="000D1EB3" w:rsidRDefault="001530D0" w:rsidP="00D54E7B">
      <w:r w:rsidRPr="000D1EB3">
        <w:t xml:space="preserve">This document tells you how the Pathfinder </w:t>
      </w:r>
      <w:r w:rsidR="00905792" w:rsidRPr="000D1EB3">
        <w:t xml:space="preserve">Ethical </w:t>
      </w:r>
      <w:r w:rsidR="00FC6FFD" w:rsidRPr="000D1EB3">
        <w:t>Growth</w:t>
      </w:r>
      <w:r w:rsidR="00F71C7A" w:rsidRPr="000D1EB3">
        <w:t xml:space="preserve"> </w:t>
      </w:r>
      <w:r w:rsidRPr="000D1EB3">
        <w:t>Fund has performed and what fees were charged. The document will help you to compare the fund with other funds. Pathfinder Asset Management Limited prepared this update in accordance with the Financial Markets Conduct Act 2013. This information is not audited and may be updated.</w:t>
      </w:r>
    </w:p>
    <w:p w14:paraId="4E61F267" w14:textId="77777777" w:rsidR="00D54E7B" w:rsidRPr="000D1EB3" w:rsidRDefault="00D54E7B" w:rsidP="00D54E7B"/>
    <w:p w14:paraId="1E9D48D7" w14:textId="1DB8A190" w:rsidR="001530D0" w:rsidRPr="000D1EB3" w:rsidRDefault="000D6CE4" w:rsidP="00D54E7B">
      <w:pPr>
        <w:pStyle w:val="Heading1"/>
        <w:rPr>
          <w:rFonts w:ascii="PP Neue Montreal" w:hAnsi="PP Neue Montreal"/>
        </w:rPr>
      </w:pPr>
      <w:r w:rsidRPr="000D1EB3">
        <w:rPr>
          <w:rFonts w:ascii="PP Neue Montreal" w:hAnsi="PP Neue Montreal"/>
        </w:rPr>
        <w:t xml:space="preserve">Description of this </w:t>
      </w:r>
      <w:r w:rsidR="00DF4BBF" w:rsidRPr="000D1EB3">
        <w:rPr>
          <w:rFonts w:ascii="PP Neue Montreal" w:hAnsi="PP Neue Montreal"/>
        </w:rPr>
        <w:t>f</w:t>
      </w:r>
      <w:r w:rsidRPr="000D1EB3">
        <w:rPr>
          <w:rFonts w:ascii="PP Neue Montreal" w:hAnsi="PP Neue Montreal"/>
        </w:rPr>
        <w:t>und</w:t>
      </w:r>
    </w:p>
    <w:p w14:paraId="13001768" w14:textId="64ECB2BD" w:rsidR="00204980" w:rsidRPr="000D1EB3" w:rsidRDefault="00B35DE1" w:rsidP="00204980">
      <w:r w:rsidRPr="004B7804">
        <w:t>An ethical portfolio invested</w:t>
      </w:r>
      <w:r w:rsidR="00204980" w:rsidRPr="004B7804">
        <w:t xml:space="preserve"> in growth and income assets.</w:t>
      </w:r>
    </w:p>
    <w:p w14:paraId="058EA636" w14:textId="77777777" w:rsidR="00D54E7B" w:rsidRPr="000D1EB3" w:rsidRDefault="00D54E7B" w:rsidP="00D54E7B">
      <w:pPr>
        <w:rPr>
          <w:lang w:val="en-US"/>
        </w:rPr>
      </w:pPr>
    </w:p>
    <w:tbl>
      <w:tblPr>
        <w:tblStyle w:val="Pathfindertable"/>
        <w:tblW w:w="0" w:type="auto"/>
        <w:tblCellMar>
          <w:top w:w="113" w:type="dxa"/>
          <w:bottom w:w="113" w:type="dxa"/>
        </w:tblCellMar>
        <w:tblLook w:val="04A0" w:firstRow="1" w:lastRow="0" w:firstColumn="1" w:lastColumn="0" w:noHBand="0" w:noVBand="1"/>
      </w:tblPr>
      <w:tblGrid>
        <w:gridCol w:w="4102"/>
        <w:gridCol w:w="4102"/>
      </w:tblGrid>
      <w:tr w:rsidR="00194E89" w:rsidRPr="000D1EB3" w14:paraId="044949AD" w14:textId="77777777" w:rsidTr="00EC18D2">
        <w:trPr>
          <w:cnfStyle w:val="100000000000" w:firstRow="1" w:lastRow="0" w:firstColumn="0" w:lastColumn="0" w:oddVBand="0" w:evenVBand="0" w:oddHBand="0" w:evenHBand="0" w:firstRowFirstColumn="0" w:firstRowLastColumn="0" w:lastRowFirstColumn="0" w:lastRowLastColumn="0"/>
        </w:trPr>
        <w:tc>
          <w:tcPr>
            <w:tcW w:w="4102" w:type="dxa"/>
            <w:tcBorders>
              <w:top w:val="single" w:sz="4" w:space="0" w:color="auto"/>
            </w:tcBorders>
            <w:tcMar>
              <w:bottom w:w="57" w:type="dxa"/>
            </w:tcMar>
          </w:tcPr>
          <w:p w14:paraId="3270262A" w14:textId="77777777" w:rsidR="00194E89" w:rsidRPr="000D1EB3" w:rsidRDefault="00194E89">
            <w:pPr>
              <w:rPr>
                <w:lang w:val="en-US"/>
              </w:rPr>
            </w:pPr>
            <w:r w:rsidRPr="000D1EB3">
              <w:rPr>
                <w:lang w:val="en-US"/>
              </w:rPr>
              <w:t>Total value of the fund</w:t>
            </w:r>
          </w:p>
        </w:tc>
        <w:tc>
          <w:tcPr>
            <w:tcW w:w="4102" w:type="dxa"/>
            <w:tcBorders>
              <w:top w:val="single" w:sz="4" w:space="0" w:color="auto"/>
            </w:tcBorders>
            <w:tcMar>
              <w:bottom w:w="57" w:type="dxa"/>
            </w:tcMar>
          </w:tcPr>
          <w:p w14:paraId="1374D62D" w14:textId="1B6B5C8C" w:rsidR="00194E89" w:rsidRPr="00831039" w:rsidRDefault="00F02AD0" w:rsidP="002926BA">
            <w:pPr>
              <w:jc w:val="right"/>
              <w:rPr>
                <w:lang w:val="en-US"/>
              </w:rPr>
            </w:pPr>
            <w:r>
              <w:t>$</w:t>
            </w:r>
            <w:r w:rsidR="007926E1" w:rsidRPr="007926E1">
              <w:t>97,555,090.68</w:t>
            </w:r>
          </w:p>
        </w:tc>
      </w:tr>
      <w:tr w:rsidR="00194E89" w:rsidRPr="000D1EB3" w14:paraId="59B918AD" w14:textId="77777777">
        <w:tc>
          <w:tcPr>
            <w:tcW w:w="4102" w:type="dxa"/>
            <w:tcMar>
              <w:bottom w:w="57" w:type="dxa"/>
            </w:tcMar>
          </w:tcPr>
          <w:p w14:paraId="0A9C36B6" w14:textId="6347B426" w:rsidR="00194E89" w:rsidRPr="000D1EB3" w:rsidRDefault="003168D9">
            <w:pPr>
              <w:rPr>
                <w:lang w:val="en-US"/>
              </w:rPr>
            </w:pPr>
            <w:r w:rsidRPr="000D1EB3">
              <w:rPr>
                <w:lang w:val="en-US"/>
              </w:rPr>
              <w:t>The d</w:t>
            </w:r>
            <w:r w:rsidR="00194E89" w:rsidRPr="000D1EB3">
              <w:rPr>
                <w:lang w:val="en-US"/>
              </w:rPr>
              <w:t>ate the fund started</w:t>
            </w:r>
          </w:p>
        </w:tc>
        <w:tc>
          <w:tcPr>
            <w:tcW w:w="4102" w:type="dxa"/>
            <w:tcMar>
              <w:bottom w:w="57" w:type="dxa"/>
            </w:tcMar>
          </w:tcPr>
          <w:p w14:paraId="25EB94D3" w14:textId="77777777" w:rsidR="00194E89" w:rsidRPr="000D1EB3" w:rsidRDefault="00204980">
            <w:pPr>
              <w:jc w:val="right"/>
              <w:rPr>
                <w:lang w:val="en-US"/>
              </w:rPr>
            </w:pPr>
            <w:r w:rsidRPr="000D1EB3">
              <w:rPr>
                <w:lang w:val="en-US"/>
              </w:rPr>
              <w:t>17 August 2020</w:t>
            </w:r>
          </w:p>
        </w:tc>
      </w:tr>
    </w:tbl>
    <w:p w14:paraId="2CF47D44" w14:textId="77777777" w:rsidR="00D54E7B" w:rsidRPr="000D1EB3" w:rsidRDefault="00D54E7B" w:rsidP="00D54E7B">
      <w:pPr>
        <w:rPr>
          <w:lang w:val="en-US"/>
        </w:rPr>
      </w:pPr>
    </w:p>
    <w:p w14:paraId="3A765A11" w14:textId="77777777" w:rsidR="00471FE9" w:rsidRPr="000D1EB3" w:rsidRDefault="00471FE9" w:rsidP="00D54E7B">
      <w:pPr>
        <w:pStyle w:val="Heading1"/>
        <w:rPr>
          <w:rFonts w:ascii="PP Neue Montreal" w:hAnsi="PP Neue Montreal"/>
          <w:lang w:val="en-US"/>
        </w:rPr>
      </w:pPr>
      <w:r w:rsidRPr="000D1EB3">
        <w:rPr>
          <w:rFonts w:ascii="PP Neue Montreal" w:hAnsi="PP Neue Montreal"/>
        </w:rPr>
        <w:t xml:space="preserve">What </w:t>
      </w:r>
      <w:r w:rsidR="00D54E7B" w:rsidRPr="000D1EB3">
        <w:rPr>
          <w:rFonts w:ascii="PP Neue Montreal" w:hAnsi="PP Neue Montreal"/>
        </w:rPr>
        <w:t>are the risks of investing</w:t>
      </w:r>
      <w:r w:rsidRPr="000D1EB3">
        <w:rPr>
          <w:rFonts w:ascii="PP Neue Montreal" w:hAnsi="PP Neue Montreal"/>
        </w:rPr>
        <w:t>?</w:t>
      </w:r>
    </w:p>
    <w:p w14:paraId="696A1923" w14:textId="77777777" w:rsidR="00716B96" w:rsidRPr="000D1EB3" w:rsidRDefault="00D54E7B" w:rsidP="00D54E7B">
      <w:r w:rsidRPr="000D1EB3">
        <w:t xml:space="preserve">Risk indicator for the Pathfinder </w:t>
      </w:r>
      <w:r w:rsidR="00FC6FFD" w:rsidRPr="000D1EB3">
        <w:t>Ethical Growth</w:t>
      </w:r>
      <w:r w:rsidRPr="000D1EB3">
        <w:t xml:space="preserve"> Fund:</w:t>
      </w:r>
    </w:p>
    <w:p w14:paraId="26534130" w14:textId="77777777" w:rsidR="00351EF9" w:rsidRPr="000D1EB3" w:rsidRDefault="00351EF9" w:rsidP="00D54E7B"/>
    <w:p w14:paraId="62F8905F" w14:textId="0A2B16D7" w:rsidR="00D54E7B" w:rsidRPr="000D1EB3" w:rsidRDefault="000D6909" w:rsidP="00D54E7B">
      <w:r w:rsidRPr="00351EF9">
        <w:rPr>
          <w:noProof/>
        </w:rPr>
        <w:drawing>
          <wp:inline distT="0" distB="0" distL="0" distR="0" wp14:anchorId="63D5FCC6" wp14:editId="234F131F">
            <wp:extent cx="4923084" cy="711200"/>
            <wp:effectExtent l="0" t="0" r="5080" b="0"/>
            <wp:docPr id="1408686775" name="Picture 1408686775"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35274" name="Picture 2103535274" descr="A black circle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23084" cy="711200"/>
                    </a:xfrm>
                    <a:prstGeom prst="rect">
                      <a:avLst/>
                    </a:prstGeom>
                  </pic:spPr>
                </pic:pic>
              </a:graphicData>
            </a:graphic>
          </wp:inline>
        </w:drawing>
      </w:r>
    </w:p>
    <w:p w14:paraId="74C786B8" w14:textId="77777777" w:rsidR="00D54E7B" w:rsidRPr="000D1EB3" w:rsidRDefault="00D54E7B" w:rsidP="00D54E7B"/>
    <w:p w14:paraId="25882480" w14:textId="77777777" w:rsidR="001D17D0" w:rsidRPr="000D1EB3" w:rsidRDefault="00D54E7B" w:rsidP="001D17D0">
      <w:r w:rsidRPr="000D1EB3">
        <w:t>The risk indicator is rated from 1 (low) to 7 (high). The rating reflects how much the value of the fund’s assets goes up and down. A higher risk generally means higher potential returns over time, but more ups and downs along the way.</w:t>
      </w:r>
    </w:p>
    <w:p w14:paraId="077B160F" w14:textId="4118815C" w:rsidR="00D54E7B" w:rsidRPr="000D1EB3" w:rsidRDefault="001D17D0" w:rsidP="00D54E7B">
      <w:r w:rsidRPr="000D1EB3">
        <w:lastRenderedPageBreak/>
        <w:t>To help you clarify your own attitude to risk, you can seek financial advice or work out your risk</w:t>
      </w:r>
      <w:r w:rsidR="00B84C00">
        <w:t xml:space="preserve"> </w:t>
      </w:r>
      <w:r w:rsidR="00D54E7B" w:rsidRPr="000D1EB3">
        <w:rPr>
          <w:lang w:val="en-US"/>
        </w:rPr>
        <w:t xml:space="preserve">profile at </w:t>
      </w:r>
      <w:hyperlink r:id="rId17" w:history="1">
        <w:r w:rsidR="00D54E7B" w:rsidRPr="000D1EB3">
          <w:rPr>
            <w:rStyle w:val="Hyperlink"/>
            <w:rFonts w:ascii="PP Neue Montreal" w:hAnsi="PP Neue Montreal"/>
            <w:lang w:val="en-US"/>
          </w:rPr>
          <w:t>www.sorted.org.nz/tools/investor-kickstarter</w:t>
        </w:r>
      </w:hyperlink>
      <w:r w:rsidR="00D54E7B" w:rsidRPr="000D1EB3">
        <w:rPr>
          <w:rStyle w:val="Hyperlink"/>
          <w:rFonts w:ascii="PP Neue Montreal" w:hAnsi="PP Neue Montreal"/>
        </w:rPr>
        <w:t>.</w:t>
      </w:r>
      <w:r w:rsidR="00D54E7B" w:rsidRPr="000D1EB3">
        <w:rPr>
          <w:lang w:val="en-US"/>
        </w:rPr>
        <w:t xml:space="preserve"> </w:t>
      </w:r>
    </w:p>
    <w:p w14:paraId="1809EC48" w14:textId="77777777" w:rsidR="00D54E7B" w:rsidRPr="000D1EB3" w:rsidRDefault="00D54E7B" w:rsidP="00D54E7B">
      <w:pPr>
        <w:rPr>
          <w:rFonts w:cs="PP Neue Montreal"/>
          <w:sz w:val="18"/>
          <w:szCs w:val="18"/>
          <w:lang w:val="en-US"/>
        </w:rPr>
      </w:pPr>
    </w:p>
    <w:p w14:paraId="3ECE396C" w14:textId="04E226B8" w:rsidR="003168D9" w:rsidRPr="000D1EB3" w:rsidRDefault="00E80E34" w:rsidP="00E80E34">
      <w:r w:rsidRPr="000D1EB3">
        <w:t>Note that even the lowest category does not mean a risk-free investment, and there are other risks that are not captured by this rating.</w:t>
      </w:r>
    </w:p>
    <w:p w14:paraId="0DDF7406" w14:textId="77777777" w:rsidR="003168D9" w:rsidRPr="000D1EB3" w:rsidRDefault="003168D9" w:rsidP="00E80E34"/>
    <w:p w14:paraId="0D78A25A" w14:textId="274BE9BE" w:rsidR="003168D9" w:rsidRPr="000D1EB3" w:rsidRDefault="00E80E34" w:rsidP="00E80E34">
      <w:r w:rsidRPr="000D1EB3">
        <w:t xml:space="preserve">This risk indicator is not a guarantee of a fund’s future performance. The risk indicator is based on the returns data for the 5-year period from 1 </w:t>
      </w:r>
      <w:r w:rsidR="007926E1">
        <w:t>January</w:t>
      </w:r>
      <w:r w:rsidR="002926BA" w:rsidRPr="000D1EB3">
        <w:t xml:space="preserve"> </w:t>
      </w:r>
      <w:r w:rsidR="002B3B43">
        <w:t>202</w:t>
      </w:r>
      <w:r w:rsidR="007926E1">
        <w:t>1</w:t>
      </w:r>
      <w:r w:rsidRPr="000D1EB3">
        <w:t xml:space="preserve"> to 3</w:t>
      </w:r>
      <w:r w:rsidR="007926E1">
        <w:t>1</w:t>
      </w:r>
      <w:r w:rsidR="00894C14">
        <w:t xml:space="preserve"> </w:t>
      </w:r>
      <w:r w:rsidR="007926E1">
        <w:t>December</w:t>
      </w:r>
      <w:r w:rsidR="00894C14">
        <w:t xml:space="preserve"> </w:t>
      </w:r>
      <w:r w:rsidRPr="000D1EB3">
        <w:t>202</w:t>
      </w:r>
      <w:r w:rsidR="00D053CA">
        <w:t>5</w:t>
      </w:r>
      <w:r w:rsidRPr="000D1EB3">
        <w:t xml:space="preserve">. While risk indicators are usually relatively stable, they do shift from time to time. The risk indicator will continue to be updated in future fund updates.  </w:t>
      </w:r>
    </w:p>
    <w:p w14:paraId="70CECF30" w14:textId="77777777" w:rsidR="003168D9" w:rsidRPr="000D1EB3" w:rsidRDefault="003168D9" w:rsidP="00E80E34"/>
    <w:p w14:paraId="4FBA4DC9" w14:textId="3BB89DDC" w:rsidR="00E80E34" w:rsidRPr="000D1EB3" w:rsidRDefault="00E80E34" w:rsidP="00E80E34">
      <w:r w:rsidRPr="000D1EB3">
        <w:t>See the Product Disclosure Statement (</w:t>
      </w:r>
      <w:hyperlink r:id="rId18" w:history="1">
        <w:r w:rsidRPr="000D1EB3">
          <w:rPr>
            <w:rStyle w:val="Hyperlink"/>
            <w:rFonts w:ascii="PP Neue Montreal" w:hAnsi="PP Neue Montreal"/>
            <w:b/>
            <w:bCs/>
            <w:u w:val="none"/>
          </w:rPr>
          <w:t>PDS</w:t>
        </w:r>
      </w:hyperlink>
      <w:r w:rsidRPr="000D1EB3">
        <w:t xml:space="preserve">) for more information about the risks associated with investing in this fund. </w:t>
      </w:r>
    </w:p>
    <w:p w14:paraId="7573ABA8" w14:textId="77777777" w:rsidR="00194E89" w:rsidRPr="000D1EB3" w:rsidRDefault="00716B96" w:rsidP="00E80E34">
      <w:pPr>
        <w:pStyle w:val="Heading1"/>
        <w:rPr>
          <w:rFonts w:ascii="PP Neue Montreal" w:hAnsi="PP Neue Montreal"/>
          <w:lang w:val="en-US"/>
        </w:rPr>
      </w:pPr>
      <w:r w:rsidRPr="000D1EB3">
        <w:rPr>
          <w:rFonts w:ascii="PP Neue Montreal" w:hAnsi="PP Neue Montreal"/>
          <w:lang w:val="en-US"/>
        </w:rPr>
        <w:t>How has the fund performed?</w:t>
      </w:r>
    </w:p>
    <w:tbl>
      <w:tblPr>
        <w:tblStyle w:val="Pathfindertable"/>
        <w:tblW w:w="8214" w:type="dxa"/>
        <w:jc w:val="right"/>
        <w:tblCellMar>
          <w:top w:w="113" w:type="dxa"/>
          <w:bottom w:w="113" w:type="dxa"/>
        </w:tblCellMar>
        <w:tblLook w:val="04A0" w:firstRow="1" w:lastRow="0" w:firstColumn="1" w:lastColumn="0" w:noHBand="0" w:noVBand="1"/>
      </w:tblPr>
      <w:tblGrid>
        <w:gridCol w:w="3544"/>
        <w:gridCol w:w="2977"/>
        <w:gridCol w:w="1693"/>
      </w:tblGrid>
      <w:tr w:rsidR="009C3B64" w:rsidRPr="000D1EB3" w14:paraId="50A975C2" w14:textId="77777777" w:rsidTr="00573FF3">
        <w:trPr>
          <w:cnfStyle w:val="100000000000" w:firstRow="1" w:lastRow="0" w:firstColumn="0" w:lastColumn="0" w:oddVBand="0" w:evenVBand="0" w:oddHBand="0" w:evenHBand="0" w:firstRowFirstColumn="0" w:firstRowLastColumn="0" w:lastRowFirstColumn="0" w:lastRowLastColumn="0"/>
          <w:trHeight w:val="20"/>
          <w:jc w:val="right"/>
        </w:trPr>
        <w:tc>
          <w:tcPr>
            <w:tcW w:w="3544" w:type="dxa"/>
            <w:tcBorders>
              <w:top w:val="nil"/>
              <w:right w:val="nil"/>
            </w:tcBorders>
            <w:tcMar>
              <w:bottom w:w="57" w:type="dxa"/>
            </w:tcMar>
          </w:tcPr>
          <w:p w14:paraId="718D324E" w14:textId="77777777" w:rsidR="009C3B64" w:rsidRPr="000D1EB3" w:rsidRDefault="009C3B64" w:rsidP="009C3B64">
            <w:pPr>
              <w:pStyle w:val="PathfinderHeading2"/>
            </w:pPr>
            <w:r w:rsidRPr="000D1EB3">
              <w:t>Pathfinder Ethical Growth Fund</w:t>
            </w:r>
          </w:p>
        </w:tc>
        <w:tc>
          <w:tcPr>
            <w:tcW w:w="2977" w:type="dxa"/>
            <w:vAlign w:val="top"/>
          </w:tcPr>
          <w:p w14:paraId="27F5E4EA" w14:textId="3AA7ECE8" w:rsidR="009C3B64" w:rsidRPr="000D1EB3" w:rsidRDefault="009C3B64" w:rsidP="009C3B64">
            <w:pPr>
              <w:pStyle w:val="PathfinderHeading2"/>
              <w:jc w:val="right"/>
            </w:pPr>
            <w:r w:rsidRPr="002C6D2E">
              <w:t xml:space="preserve">Average over Past 5 years </w:t>
            </w:r>
          </w:p>
        </w:tc>
        <w:tc>
          <w:tcPr>
            <w:tcW w:w="1693" w:type="dxa"/>
          </w:tcPr>
          <w:p w14:paraId="50CFD84A" w14:textId="601886BD" w:rsidR="009C3B64" w:rsidRPr="000D1EB3" w:rsidRDefault="009C3B64" w:rsidP="009C3B64">
            <w:pPr>
              <w:pStyle w:val="PathfinderHeading2"/>
              <w:jc w:val="right"/>
            </w:pPr>
            <w:r w:rsidRPr="000D1EB3">
              <w:t>Past year</w:t>
            </w:r>
          </w:p>
        </w:tc>
      </w:tr>
      <w:tr w:rsidR="009C3B64" w:rsidRPr="000D1EB3" w14:paraId="7DA6527E" w14:textId="77777777" w:rsidTr="00573FF3">
        <w:trPr>
          <w:trHeight w:val="20"/>
          <w:jc w:val="right"/>
        </w:trPr>
        <w:tc>
          <w:tcPr>
            <w:tcW w:w="3544" w:type="dxa"/>
            <w:tcBorders>
              <w:top w:val="single" w:sz="4" w:space="0" w:color="auto"/>
              <w:right w:val="nil"/>
            </w:tcBorders>
            <w:tcMar>
              <w:bottom w:w="57" w:type="dxa"/>
            </w:tcMar>
          </w:tcPr>
          <w:p w14:paraId="10177C61" w14:textId="77777777" w:rsidR="009C3B64" w:rsidRPr="000D1EB3" w:rsidRDefault="009C3B64" w:rsidP="009C3B64">
            <w:pPr>
              <w:rPr>
                <w:lang w:val="en-US"/>
              </w:rPr>
            </w:pPr>
            <w:r w:rsidRPr="000D1EB3">
              <w:rPr>
                <w:lang w:val="en-US"/>
              </w:rPr>
              <w:t xml:space="preserve">Annual return </w:t>
            </w:r>
            <w:r w:rsidRPr="000D1EB3">
              <w:rPr>
                <w:lang w:val="en-US"/>
              </w:rPr>
              <w:br/>
            </w:r>
            <w:r w:rsidRPr="000D1EB3">
              <w:rPr>
                <w:sz w:val="14"/>
                <w:szCs w:val="14"/>
                <w:lang w:val="en-US"/>
              </w:rPr>
              <w:t>(after deductions for charges and tax)</w:t>
            </w:r>
          </w:p>
        </w:tc>
        <w:tc>
          <w:tcPr>
            <w:tcW w:w="2977" w:type="dxa"/>
            <w:vAlign w:val="center"/>
          </w:tcPr>
          <w:p w14:paraId="6122E658" w14:textId="2C403585" w:rsidR="009C3B64" w:rsidRDefault="001E465B" w:rsidP="009952BF">
            <w:pPr>
              <w:spacing w:line="480" w:lineRule="auto"/>
              <w:jc w:val="right"/>
            </w:pPr>
            <w:r>
              <w:t>5.60</w:t>
            </w:r>
            <w:r w:rsidR="000B6AF1">
              <w:t>%</w:t>
            </w:r>
          </w:p>
        </w:tc>
        <w:tc>
          <w:tcPr>
            <w:tcW w:w="1693" w:type="dxa"/>
            <w:vAlign w:val="center"/>
          </w:tcPr>
          <w:p w14:paraId="700B541A" w14:textId="553DBA96" w:rsidR="009C3B64" w:rsidRPr="002D1F26" w:rsidRDefault="006E56A5" w:rsidP="009C3B64">
            <w:pPr>
              <w:spacing w:line="480" w:lineRule="auto"/>
              <w:jc w:val="right"/>
              <w:rPr>
                <w:color w:val="FF0000"/>
                <w:highlight w:val="yellow"/>
              </w:rPr>
            </w:pPr>
            <w:r w:rsidRPr="006E56A5">
              <w:t>7.16%</w:t>
            </w:r>
          </w:p>
        </w:tc>
      </w:tr>
      <w:tr w:rsidR="009C3B64" w:rsidRPr="00212CEA" w14:paraId="0A3BE0EB" w14:textId="77777777" w:rsidTr="00573FF3">
        <w:trPr>
          <w:trHeight w:val="20"/>
          <w:jc w:val="right"/>
        </w:trPr>
        <w:tc>
          <w:tcPr>
            <w:tcW w:w="3544" w:type="dxa"/>
            <w:tcBorders>
              <w:top w:val="single" w:sz="4" w:space="0" w:color="auto"/>
              <w:bottom w:val="single" w:sz="4" w:space="0" w:color="auto"/>
              <w:right w:val="nil"/>
            </w:tcBorders>
            <w:tcMar>
              <w:bottom w:w="57" w:type="dxa"/>
            </w:tcMar>
          </w:tcPr>
          <w:p w14:paraId="70B79F16" w14:textId="77777777" w:rsidR="009C3B64" w:rsidRPr="000D1EB3" w:rsidRDefault="009C3B64" w:rsidP="009C3B64">
            <w:pPr>
              <w:rPr>
                <w:lang w:val="en-US"/>
              </w:rPr>
            </w:pPr>
            <w:r w:rsidRPr="000D1EB3">
              <w:rPr>
                <w:lang w:val="en-US"/>
              </w:rPr>
              <w:t xml:space="preserve">Annual return </w:t>
            </w:r>
            <w:r w:rsidRPr="000D1EB3">
              <w:rPr>
                <w:lang w:val="en-US"/>
              </w:rPr>
              <w:br/>
            </w:r>
            <w:r w:rsidRPr="000D1EB3">
              <w:rPr>
                <w:sz w:val="14"/>
                <w:szCs w:val="14"/>
                <w:lang w:val="en-US"/>
              </w:rPr>
              <w:t>(after deductions for charges but before tax)</w:t>
            </w:r>
          </w:p>
        </w:tc>
        <w:tc>
          <w:tcPr>
            <w:tcW w:w="2977" w:type="dxa"/>
            <w:vAlign w:val="center"/>
          </w:tcPr>
          <w:p w14:paraId="60A20654" w14:textId="28B0EB59" w:rsidR="009C3B64" w:rsidRDefault="009E21B6" w:rsidP="009952BF">
            <w:pPr>
              <w:spacing w:line="480" w:lineRule="auto"/>
              <w:jc w:val="right"/>
            </w:pPr>
            <w:r>
              <w:t>6.10</w:t>
            </w:r>
            <w:r w:rsidR="009C3B64" w:rsidRPr="002C6D2E">
              <w:t>%</w:t>
            </w:r>
          </w:p>
        </w:tc>
        <w:tc>
          <w:tcPr>
            <w:tcW w:w="1693" w:type="dxa"/>
            <w:vAlign w:val="center"/>
          </w:tcPr>
          <w:p w14:paraId="4F5EFDCF" w14:textId="463B87D8" w:rsidR="009C3B64" w:rsidRPr="008A7375" w:rsidRDefault="00692E62" w:rsidP="009C3B64">
            <w:pPr>
              <w:spacing w:line="480" w:lineRule="auto"/>
              <w:jc w:val="right"/>
            </w:pPr>
            <w:r w:rsidRPr="00692E62">
              <w:t>7.96%</w:t>
            </w:r>
          </w:p>
        </w:tc>
      </w:tr>
      <w:tr w:rsidR="009C3B64" w:rsidRPr="000D1EB3" w14:paraId="5CD5F71D" w14:textId="77777777" w:rsidTr="00573FF3">
        <w:trPr>
          <w:trHeight w:val="20"/>
          <w:jc w:val="right"/>
        </w:trPr>
        <w:tc>
          <w:tcPr>
            <w:tcW w:w="3544" w:type="dxa"/>
            <w:tcBorders>
              <w:top w:val="single" w:sz="4" w:space="0" w:color="auto"/>
              <w:right w:val="nil"/>
            </w:tcBorders>
            <w:tcMar>
              <w:bottom w:w="57" w:type="dxa"/>
            </w:tcMar>
          </w:tcPr>
          <w:p w14:paraId="36304E5F" w14:textId="2225754C" w:rsidR="009C3B64" w:rsidRPr="000D1EB3" w:rsidRDefault="009C3B64" w:rsidP="009C3B64">
            <w:pPr>
              <w:rPr>
                <w:lang w:val="en-US"/>
              </w:rPr>
            </w:pPr>
            <w:r w:rsidRPr="000D1EB3">
              <w:rPr>
                <w:lang w:val="en-US"/>
              </w:rPr>
              <w:t xml:space="preserve">Market index annual return </w:t>
            </w:r>
            <w:r w:rsidRPr="000D1EB3">
              <w:rPr>
                <w:lang w:val="en-US"/>
              </w:rPr>
              <w:br/>
            </w:r>
            <w:r w:rsidRPr="000D1EB3">
              <w:rPr>
                <w:sz w:val="14"/>
                <w:szCs w:val="14"/>
                <w:lang w:val="en-US"/>
              </w:rPr>
              <w:t>(reflects no deductions for charges and tax)</w:t>
            </w:r>
          </w:p>
        </w:tc>
        <w:tc>
          <w:tcPr>
            <w:tcW w:w="2977" w:type="dxa"/>
            <w:vAlign w:val="center"/>
          </w:tcPr>
          <w:p w14:paraId="643DF125" w14:textId="196AEC23" w:rsidR="009C3B64" w:rsidRDefault="009E21B6" w:rsidP="009952BF">
            <w:pPr>
              <w:spacing w:line="480" w:lineRule="auto"/>
              <w:jc w:val="right"/>
            </w:pPr>
            <w:r>
              <w:t>8.37</w:t>
            </w:r>
            <w:r w:rsidR="009C3B64" w:rsidRPr="002C6D2E">
              <w:t>%</w:t>
            </w:r>
          </w:p>
        </w:tc>
        <w:tc>
          <w:tcPr>
            <w:tcW w:w="1693" w:type="dxa"/>
            <w:vAlign w:val="center"/>
          </w:tcPr>
          <w:p w14:paraId="763B526C" w14:textId="362C0568" w:rsidR="009C3B64" w:rsidRPr="003145C3" w:rsidRDefault="00F86323" w:rsidP="009C3B64">
            <w:pPr>
              <w:spacing w:line="480" w:lineRule="auto"/>
              <w:jc w:val="right"/>
              <w:rPr>
                <w:color w:val="FF0000"/>
                <w:lang w:val="en-US"/>
              </w:rPr>
            </w:pPr>
            <w:r>
              <w:t>1</w:t>
            </w:r>
            <w:r w:rsidR="00692E62">
              <w:t>1</w:t>
            </w:r>
            <w:r w:rsidR="009E21B6">
              <w:t>.96</w:t>
            </w:r>
            <w:r w:rsidR="00692E62" w:rsidRPr="00AB6AE9">
              <w:t xml:space="preserve"> </w:t>
            </w:r>
            <w:r w:rsidR="009C3B64" w:rsidRPr="00AB6AE9">
              <w:t>%</w:t>
            </w:r>
          </w:p>
        </w:tc>
      </w:tr>
    </w:tbl>
    <w:p w14:paraId="1775F35F" w14:textId="77777777" w:rsidR="00194E89" w:rsidRPr="000D1EB3" w:rsidRDefault="00194E89" w:rsidP="00194E89">
      <w:pPr>
        <w:rPr>
          <w:lang w:val="en-US"/>
        </w:rPr>
      </w:pPr>
    </w:p>
    <w:p w14:paraId="23064334" w14:textId="7694F4C0" w:rsidR="00204980" w:rsidRPr="000D1EB3" w:rsidRDefault="00204980" w:rsidP="00204980">
      <w:r w:rsidRPr="000D1EB3">
        <w:t>The market index annual return is the Morningstar® Target Allocation Index™: Growth Multisector for New Zealand, 100% non-New Zealand Fixed Interest in the Fund hedged to NZD</w:t>
      </w:r>
      <w:r w:rsidR="00056A6C">
        <w:t>, 0% other non-New Zealand assets hedged to NZD</w:t>
      </w:r>
      <w:r w:rsidR="00F12123" w:rsidRPr="00140C6F">
        <w:rPr>
          <w:vertAlign w:val="superscript"/>
        </w:rPr>
        <w:t>2</w:t>
      </w:r>
      <w:r w:rsidRPr="000D1EB3">
        <w:t>. The index is gross of dividends and tax except for International Equities and International Listed Properties, which are gross of dividends after deducting the tax withheld.</w:t>
      </w:r>
    </w:p>
    <w:p w14:paraId="28600798" w14:textId="77777777" w:rsidR="00204980" w:rsidRPr="000D1EB3" w:rsidRDefault="00204980" w:rsidP="00716B96"/>
    <w:p w14:paraId="51704434" w14:textId="0D665ECA" w:rsidR="009E0A5E" w:rsidRDefault="00177CE2" w:rsidP="00716B96">
      <w:r w:rsidRPr="000D1EB3">
        <w:rPr>
          <w:rStyle w:val="Heading1Char"/>
          <w:rFonts w:ascii="PP Neue Montreal" w:hAnsi="PP Neue Montreal"/>
          <w:noProof/>
        </w:rPr>
        <w:drawing>
          <wp:anchor distT="0" distB="0" distL="114300" distR="114300" simplePos="0" relativeHeight="251658246" behindDoc="1" locked="1" layoutInCell="1" allowOverlap="1" wp14:anchorId="117CCCE8" wp14:editId="3EC46F2D">
            <wp:simplePos x="0" y="0"/>
            <wp:positionH relativeFrom="page">
              <wp:posOffset>-635</wp:posOffset>
            </wp:positionH>
            <wp:positionV relativeFrom="page">
              <wp:align>top</wp:align>
            </wp:positionV>
            <wp:extent cx="7559040" cy="9808210"/>
            <wp:effectExtent l="0" t="0" r="3810" b="2540"/>
            <wp:wrapNone/>
            <wp:docPr id="1072883489" name="Picture 107288348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83489" name="Picture 1072883489" descr="A white background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6B96" w:rsidRPr="000D1EB3">
        <w:t xml:space="preserve">Additional information about the index is available on the offer register at </w:t>
      </w:r>
      <w:hyperlink r:id="rId19" w:history="1">
        <w:r w:rsidR="004E71D5" w:rsidRPr="00441CD0">
          <w:rPr>
            <w:rStyle w:val="Hyperlink"/>
            <w:rFonts w:ascii="PP Neue Montreal" w:hAnsi="PP Neue Montreal"/>
          </w:rPr>
          <w:t>https://disclose-register.companiesoffice.govt.nz/</w:t>
        </w:r>
      </w:hyperlink>
      <w:r w:rsidR="004E71D5">
        <w:t xml:space="preserve"> </w:t>
      </w:r>
      <w:r w:rsidR="00716B96" w:rsidRPr="000D1EB3">
        <w:t>(search Offers, using Offer OFR10780, Documents, Other Material Information).</w:t>
      </w:r>
    </w:p>
    <w:p w14:paraId="117C4E0F" w14:textId="7474AD40" w:rsidR="009E0A5E" w:rsidRPr="000D1EB3" w:rsidRDefault="00256959" w:rsidP="00716B96">
      <w:r>
        <w:t>See note 2 for further information on the market index.</w:t>
      </w:r>
    </w:p>
    <w:p w14:paraId="2FC35021" w14:textId="47F95F1B" w:rsidR="004A63E6" w:rsidRPr="000D1EB3" w:rsidRDefault="004A63E6" w:rsidP="00716B96"/>
    <w:p w14:paraId="72E5DD9F" w14:textId="1CA12CDE" w:rsidR="00716B96" w:rsidRDefault="00716B96" w:rsidP="00BA27C1">
      <w:pPr>
        <w:pStyle w:val="PathfinderHeading2"/>
      </w:pPr>
      <w:r w:rsidRPr="009D26D7">
        <w:t>Annual Return Graph</w:t>
      </w:r>
    </w:p>
    <w:p w14:paraId="4CDEA156" w14:textId="770A84E0" w:rsidR="00FC13F7" w:rsidRPr="000D1EB3" w:rsidRDefault="00FE33C3" w:rsidP="00BA27C1">
      <w:pPr>
        <w:pStyle w:val="PathfinderHeading2"/>
      </w:pPr>
      <w:r>
        <w:rPr>
          <w:noProof/>
        </w:rPr>
        <w:drawing>
          <wp:inline distT="0" distB="0" distL="0" distR="0" wp14:anchorId="69986ECC" wp14:editId="10FC074D">
            <wp:extent cx="5215890" cy="1743710"/>
            <wp:effectExtent l="0" t="0" r="3810" b="8890"/>
            <wp:docPr id="113198328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742295" w14:textId="7DF895D1" w:rsidR="006B6054" w:rsidRPr="000D1EB3" w:rsidRDefault="006B6054" w:rsidP="00BA27C1">
      <w:pPr>
        <w:pStyle w:val="PathfinderHeading2"/>
      </w:pPr>
    </w:p>
    <w:p w14:paraId="5483F955" w14:textId="48756686" w:rsidR="004A63E6" w:rsidRPr="007041BA" w:rsidRDefault="004A63E6" w:rsidP="004A63E6">
      <w:pPr>
        <w:rPr>
          <w:color w:val="595959" w:themeColor="text1" w:themeTint="A6"/>
        </w:rPr>
      </w:pPr>
      <w:r w:rsidRPr="000D1EB3">
        <w:t>This shows the return after fund charges and tax for each year ending 31 March since the fund started</w:t>
      </w:r>
      <w:r w:rsidRPr="009B10BA">
        <w:t xml:space="preserve">. The last bar shows the average annual return since the fund started, up to </w:t>
      </w:r>
      <w:r w:rsidR="00822F5D" w:rsidRPr="009B10BA">
        <w:t>3</w:t>
      </w:r>
      <w:r w:rsidR="00FE33C3">
        <w:t>1</w:t>
      </w:r>
      <w:r w:rsidR="00B07FFD">
        <w:t xml:space="preserve"> </w:t>
      </w:r>
      <w:r w:rsidR="00FE33C3">
        <w:t xml:space="preserve">December </w:t>
      </w:r>
      <w:r w:rsidR="009B10BA" w:rsidRPr="009B10BA">
        <w:t>202</w:t>
      </w:r>
      <w:r w:rsidR="0058527E">
        <w:t>5</w:t>
      </w:r>
      <w:r w:rsidR="00822F5D" w:rsidRPr="009B10BA">
        <w:t>.</w:t>
      </w:r>
      <w:r w:rsidRPr="000D1EB3">
        <w:t xml:space="preserve"> </w:t>
      </w:r>
    </w:p>
    <w:p w14:paraId="66011276" w14:textId="77777777" w:rsidR="006B6054" w:rsidRPr="000D1EB3" w:rsidRDefault="006B6054" w:rsidP="006B6054"/>
    <w:p w14:paraId="522E17E0" w14:textId="2D17B75E" w:rsidR="006B6054" w:rsidRPr="000D1EB3" w:rsidRDefault="001A2A05" w:rsidP="006B6054">
      <w:pPr>
        <w:pStyle w:val="Pathfinderbodycopyblue"/>
        <w:rPr>
          <w:color w:val="auto"/>
        </w:rPr>
      </w:pPr>
      <w:r w:rsidRPr="000D1EB3">
        <w:rPr>
          <w:b/>
          <w:bCs/>
        </w:rPr>
        <w:t>Important:</w:t>
      </w:r>
      <w:r w:rsidRPr="000D1EB3">
        <w:t xml:space="preserve"> </w:t>
      </w:r>
      <w:r w:rsidR="006B6054" w:rsidRPr="000D1EB3">
        <w:rPr>
          <w:color w:val="80A2C5"/>
        </w:rPr>
        <w:t xml:space="preserve">this does not tell you how the fund will perform in the future. </w:t>
      </w:r>
    </w:p>
    <w:p w14:paraId="4D56D280" w14:textId="77777777" w:rsidR="006B6054" w:rsidRPr="000D1EB3" w:rsidRDefault="006B6054" w:rsidP="006B6054"/>
    <w:p w14:paraId="16D66872" w14:textId="77777777" w:rsidR="006B6054" w:rsidRPr="000D1EB3" w:rsidRDefault="006B6054" w:rsidP="006B6054">
      <w:r w:rsidRPr="000D1EB3">
        <w:t>Returns in this update are after tax at the highest prescribed investor rate (</w:t>
      </w:r>
      <w:r w:rsidRPr="000D1EB3">
        <w:rPr>
          <w:b/>
          <w:bCs/>
          <w:color w:val="auto"/>
        </w:rPr>
        <w:t>PIR</w:t>
      </w:r>
      <w:r w:rsidRPr="000D1EB3">
        <w:t>) of tax for an individual New Zealand resident. Your tax may be lower.</w:t>
      </w:r>
    </w:p>
    <w:p w14:paraId="53556869" w14:textId="77777777" w:rsidR="00B1073A" w:rsidRDefault="00B1073A" w:rsidP="006B6054">
      <w:pPr>
        <w:pStyle w:val="Heading1"/>
        <w:rPr>
          <w:rFonts w:ascii="PP Neue Montreal" w:hAnsi="PP Neue Montreal"/>
        </w:rPr>
        <w:sectPr w:rsidR="00B1073A" w:rsidSect="00AF158B">
          <w:pgSz w:w="11900" w:h="16840"/>
          <w:pgMar w:top="3402" w:right="1134" w:bottom="1134" w:left="2552" w:header="709" w:footer="510" w:gutter="0"/>
          <w:cols w:space="708"/>
          <w:docGrid w:linePitch="360"/>
        </w:sectPr>
      </w:pPr>
    </w:p>
    <w:p w14:paraId="530ADFA3" w14:textId="56006270" w:rsidR="006B6054" w:rsidRPr="000D1EB3" w:rsidRDefault="006B6054" w:rsidP="006B6054">
      <w:pPr>
        <w:pStyle w:val="Heading1"/>
        <w:rPr>
          <w:rFonts w:ascii="PP Neue Montreal" w:hAnsi="PP Neue Montreal"/>
        </w:rPr>
      </w:pPr>
      <w:r w:rsidRPr="00F34960">
        <w:rPr>
          <w:rFonts w:ascii="PP Neue Montreal" w:hAnsi="PP Neue Montreal"/>
        </w:rPr>
        <w:lastRenderedPageBreak/>
        <w:t>What fees are investors charged?</w:t>
      </w:r>
      <w:r w:rsidR="00177CE2" w:rsidRPr="00F34960">
        <w:rPr>
          <w:rStyle w:val="Heading1Char"/>
          <w:rFonts w:ascii="PP Neue Montreal" w:hAnsi="PP Neue Montreal"/>
          <w:noProof/>
        </w:rPr>
        <w:t xml:space="preserve"> </w:t>
      </w:r>
      <w:r w:rsidR="00177CE2" w:rsidRPr="00F34960">
        <w:rPr>
          <w:rStyle w:val="Heading1Char"/>
          <w:rFonts w:ascii="PP Neue Montreal" w:hAnsi="PP Neue Montreal"/>
          <w:noProof/>
        </w:rPr>
        <w:drawing>
          <wp:anchor distT="0" distB="0" distL="114300" distR="114300" simplePos="0" relativeHeight="251658247" behindDoc="1" locked="1" layoutInCell="1" allowOverlap="1" wp14:anchorId="4838B6D8" wp14:editId="6245D059">
            <wp:simplePos x="0" y="0"/>
            <wp:positionH relativeFrom="page">
              <wp:posOffset>-16510</wp:posOffset>
            </wp:positionH>
            <wp:positionV relativeFrom="page">
              <wp:posOffset>5080</wp:posOffset>
            </wp:positionV>
            <wp:extent cx="7559040" cy="9808210"/>
            <wp:effectExtent l="0" t="0" r="3810" b="2540"/>
            <wp:wrapNone/>
            <wp:docPr id="1132291828" name="Picture 1132291828"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91828" name="Picture 1132291828" descr="A white background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3263FA" w14:textId="2F4B2892" w:rsidR="006B6054" w:rsidRPr="000D1EB3" w:rsidRDefault="006B6054" w:rsidP="006B6054">
      <w:r w:rsidRPr="000D1EB3">
        <w:t xml:space="preserve">Investors in the Pathfinder </w:t>
      </w:r>
      <w:r w:rsidR="0002784E" w:rsidRPr="009A2694">
        <w:t xml:space="preserve">Ethical </w:t>
      </w:r>
      <w:r w:rsidR="00204980" w:rsidRPr="009A2694">
        <w:t>Growth</w:t>
      </w:r>
      <w:r w:rsidR="0002784E" w:rsidRPr="009A2694">
        <w:t xml:space="preserve"> </w:t>
      </w:r>
      <w:r w:rsidRPr="009A2694">
        <w:t xml:space="preserve">Fund are charged fund charges. In the year to 31 March </w:t>
      </w:r>
      <w:r w:rsidR="002926BA" w:rsidRPr="009A2694">
        <w:t>202</w:t>
      </w:r>
      <w:r w:rsidR="007231E1">
        <w:t>5</w:t>
      </w:r>
      <w:r w:rsidR="002926BA" w:rsidRPr="009A2694">
        <w:t xml:space="preserve"> </w:t>
      </w:r>
      <w:r w:rsidRPr="009A2694">
        <w:t>these were:</w:t>
      </w:r>
    </w:p>
    <w:p w14:paraId="1F326003" w14:textId="77777777" w:rsidR="006B6054" w:rsidRPr="000D1EB3" w:rsidRDefault="006B6054" w:rsidP="006B6054"/>
    <w:tbl>
      <w:tblPr>
        <w:tblStyle w:val="Pathfindertable"/>
        <w:tblW w:w="8080" w:type="dxa"/>
        <w:tblCellMar>
          <w:top w:w="113" w:type="dxa"/>
          <w:bottom w:w="113" w:type="dxa"/>
        </w:tblCellMar>
        <w:tblLook w:val="04A0" w:firstRow="1" w:lastRow="0" w:firstColumn="1" w:lastColumn="0" w:noHBand="0" w:noVBand="1"/>
      </w:tblPr>
      <w:tblGrid>
        <w:gridCol w:w="5812"/>
        <w:gridCol w:w="2268"/>
      </w:tblGrid>
      <w:tr w:rsidR="006B6054" w:rsidRPr="000D1EB3" w14:paraId="66517BCC" w14:textId="77777777" w:rsidTr="00CE6E89">
        <w:trPr>
          <w:cnfStyle w:val="100000000000" w:firstRow="1" w:lastRow="0" w:firstColumn="0" w:lastColumn="0" w:oddVBand="0" w:evenVBand="0" w:oddHBand="0" w:evenHBand="0" w:firstRowFirstColumn="0" w:firstRowLastColumn="0" w:lastRowFirstColumn="0" w:lastRowLastColumn="0"/>
        </w:trPr>
        <w:tc>
          <w:tcPr>
            <w:tcW w:w="5812" w:type="dxa"/>
            <w:tcBorders>
              <w:top w:val="nil"/>
              <w:right w:val="nil"/>
            </w:tcBorders>
            <w:tcMar>
              <w:bottom w:w="57" w:type="dxa"/>
            </w:tcMar>
          </w:tcPr>
          <w:p w14:paraId="6A9A2608" w14:textId="718E1964" w:rsidR="006B6054" w:rsidRPr="000D1EB3" w:rsidRDefault="006B6054">
            <w:pPr>
              <w:pStyle w:val="PathfinderHeading2"/>
            </w:pPr>
            <w:r w:rsidRPr="000D1EB3">
              <w:t xml:space="preserve">Pathfinder </w:t>
            </w:r>
            <w:r w:rsidR="003168D9" w:rsidRPr="000D1EB3">
              <w:t xml:space="preserve">Ethical </w:t>
            </w:r>
            <w:r w:rsidR="00204980" w:rsidRPr="000D1EB3">
              <w:t>Growth</w:t>
            </w:r>
            <w:r w:rsidRPr="000D1EB3">
              <w:t xml:space="preserve"> Fund</w:t>
            </w:r>
          </w:p>
        </w:tc>
        <w:tc>
          <w:tcPr>
            <w:tcW w:w="2268" w:type="dxa"/>
          </w:tcPr>
          <w:p w14:paraId="36B20408" w14:textId="77777777" w:rsidR="006B6054" w:rsidRPr="000D1EB3" w:rsidRDefault="006B6054">
            <w:pPr>
              <w:pStyle w:val="PathfinderHeading2"/>
              <w:jc w:val="right"/>
            </w:pPr>
            <w:r w:rsidRPr="000D1EB3">
              <w:t>% of net asset value</w:t>
            </w:r>
          </w:p>
        </w:tc>
      </w:tr>
      <w:tr w:rsidR="006B6054" w:rsidRPr="000D1EB3" w14:paraId="3A1A49F3" w14:textId="77777777" w:rsidTr="00CE6E89">
        <w:tc>
          <w:tcPr>
            <w:tcW w:w="5812" w:type="dxa"/>
            <w:tcBorders>
              <w:top w:val="single" w:sz="4" w:space="0" w:color="auto"/>
              <w:right w:val="nil"/>
            </w:tcBorders>
            <w:tcMar>
              <w:bottom w:w="57" w:type="dxa"/>
            </w:tcMar>
          </w:tcPr>
          <w:p w14:paraId="0FBC9E02" w14:textId="4B345100" w:rsidR="006B6054" w:rsidRDefault="00CE6E89">
            <w:pPr>
              <w:rPr>
                <w:lang w:val="en-US"/>
              </w:rPr>
            </w:pPr>
            <w:r w:rsidRPr="000D1EB3">
              <w:rPr>
                <w:b/>
                <w:bCs/>
                <w:lang w:val="en-US"/>
              </w:rPr>
              <w:t>Total fund charges</w:t>
            </w:r>
            <w:r w:rsidR="00507149">
              <w:rPr>
                <w:b/>
                <w:bCs/>
                <w:lang w:val="en-US"/>
              </w:rPr>
              <w:t>*</w:t>
            </w:r>
            <w:r w:rsidR="006B6054" w:rsidRPr="000D1EB3">
              <w:rPr>
                <w:lang w:val="en-US"/>
              </w:rPr>
              <w:t xml:space="preserve"> </w:t>
            </w:r>
          </w:p>
          <w:p w14:paraId="5F073998" w14:textId="1521E9CF" w:rsidR="006B6054" w:rsidRPr="00160AD7" w:rsidRDefault="00160AD7">
            <w:pPr>
              <w:rPr>
                <w:szCs w:val="20"/>
                <w:lang w:val="en-US"/>
              </w:rPr>
            </w:pPr>
            <w:r w:rsidRPr="000D1EB3">
              <w:rPr>
                <w:szCs w:val="20"/>
                <w:lang w:val="en-US"/>
              </w:rPr>
              <w:t>which are made up of</w:t>
            </w:r>
            <w:r>
              <w:rPr>
                <w:szCs w:val="20"/>
                <w:lang w:val="en-US"/>
              </w:rPr>
              <w:t xml:space="preserve"> </w:t>
            </w:r>
          </w:p>
        </w:tc>
        <w:tc>
          <w:tcPr>
            <w:tcW w:w="2268" w:type="dxa"/>
          </w:tcPr>
          <w:p w14:paraId="3339590E" w14:textId="73713C02" w:rsidR="006B6054" w:rsidRPr="009B3FC5" w:rsidRDefault="00E80E34">
            <w:pPr>
              <w:jc w:val="right"/>
            </w:pPr>
            <w:r w:rsidRPr="009B3FC5">
              <w:t>1.</w:t>
            </w:r>
            <w:r w:rsidR="00C91A23">
              <w:t>31</w:t>
            </w:r>
            <w:r w:rsidR="006B6054" w:rsidRPr="009B3FC5">
              <w:t>%</w:t>
            </w:r>
          </w:p>
        </w:tc>
      </w:tr>
      <w:tr w:rsidR="006B6054" w:rsidRPr="000D1EB3" w14:paraId="01D01927" w14:textId="77777777" w:rsidTr="00CE6E89">
        <w:tc>
          <w:tcPr>
            <w:tcW w:w="5812" w:type="dxa"/>
            <w:tcBorders>
              <w:top w:val="single" w:sz="4" w:space="0" w:color="auto"/>
              <w:bottom w:val="single" w:sz="4" w:space="0" w:color="auto"/>
              <w:right w:val="nil"/>
            </w:tcBorders>
            <w:tcMar>
              <w:bottom w:w="57" w:type="dxa"/>
            </w:tcMar>
          </w:tcPr>
          <w:p w14:paraId="574E7EF3" w14:textId="77777777" w:rsidR="006B6054" w:rsidRPr="000D1EB3" w:rsidRDefault="00CE6E89">
            <w:pPr>
              <w:rPr>
                <w:lang w:val="en-US"/>
              </w:rPr>
            </w:pPr>
            <w:r w:rsidRPr="000D1EB3">
              <w:rPr>
                <w:b/>
                <w:bCs/>
                <w:lang w:val="en-US"/>
              </w:rPr>
              <w:t>Total management and administration charges</w:t>
            </w:r>
            <w:r w:rsidRPr="000D1EB3">
              <w:rPr>
                <w:lang w:val="en-US"/>
              </w:rPr>
              <w:t>:</w:t>
            </w:r>
          </w:p>
          <w:p w14:paraId="47D12A01" w14:textId="149D3649" w:rsidR="003168D9" w:rsidRPr="000D1EB3" w:rsidRDefault="003168D9">
            <w:pPr>
              <w:rPr>
                <w:lang w:val="en-US"/>
              </w:rPr>
            </w:pPr>
            <w:r w:rsidRPr="000D1EB3">
              <w:rPr>
                <w:lang w:val="en-US"/>
              </w:rPr>
              <w:t>Including -</w:t>
            </w:r>
          </w:p>
        </w:tc>
        <w:tc>
          <w:tcPr>
            <w:tcW w:w="2268" w:type="dxa"/>
          </w:tcPr>
          <w:p w14:paraId="3E4540B4" w14:textId="2751E233" w:rsidR="006B6054" w:rsidRPr="009B3FC5" w:rsidRDefault="00E80E34">
            <w:pPr>
              <w:jc w:val="right"/>
              <w:rPr>
                <w:lang w:val="en-US"/>
              </w:rPr>
            </w:pPr>
            <w:r w:rsidRPr="009B3FC5">
              <w:t>1.</w:t>
            </w:r>
            <w:r w:rsidR="00E00561">
              <w:t>31</w:t>
            </w:r>
            <w:r w:rsidR="006B6054" w:rsidRPr="009B3FC5">
              <w:rPr>
                <w:lang w:val="en-US"/>
              </w:rPr>
              <w:t>%</w:t>
            </w:r>
          </w:p>
        </w:tc>
      </w:tr>
      <w:tr w:rsidR="006B6054" w:rsidRPr="000D1EB3" w14:paraId="10718AC7" w14:textId="77777777" w:rsidTr="00CE6E89">
        <w:tc>
          <w:tcPr>
            <w:tcW w:w="5812" w:type="dxa"/>
            <w:tcBorders>
              <w:top w:val="single" w:sz="4" w:space="0" w:color="auto"/>
              <w:bottom w:val="single" w:sz="4" w:space="0" w:color="auto"/>
              <w:right w:val="nil"/>
            </w:tcBorders>
            <w:tcMar>
              <w:bottom w:w="57" w:type="dxa"/>
            </w:tcMar>
          </w:tcPr>
          <w:p w14:paraId="2761A5E4" w14:textId="61DCEE4E" w:rsidR="006B6054" w:rsidRPr="000D1EB3" w:rsidRDefault="00CE6E89">
            <w:pPr>
              <w:rPr>
                <w:lang w:val="en-US"/>
              </w:rPr>
            </w:pPr>
            <w:r w:rsidRPr="000D1EB3">
              <w:rPr>
                <w:lang w:val="en-US"/>
              </w:rPr>
              <w:t>Manager</w:t>
            </w:r>
            <w:r w:rsidR="003168D9" w:rsidRPr="000D1EB3">
              <w:rPr>
                <w:lang w:val="en-US"/>
              </w:rPr>
              <w:t>’s</w:t>
            </w:r>
            <w:r w:rsidRPr="000D1EB3">
              <w:rPr>
                <w:lang w:val="en-US"/>
              </w:rPr>
              <w:t xml:space="preserve"> basic fee</w:t>
            </w:r>
            <w:r w:rsidR="006B6054" w:rsidRPr="000D1EB3">
              <w:rPr>
                <w:lang w:val="en-US"/>
              </w:rPr>
              <w:t xml:space="preserve"> </w:t>
            </w:r>
          </w:p>
        </w:tc>
        <w:tc>
          <w:tcPr>
            <w:tcW w:w="2268" w:type="dxa"/>
          </w:tcPr>
          <w:p w14:paraId="6825E290" w14:textId="741B3A60" w:rsidR="006B6054" w:rsidRPr="009B3FC5" w:rsidRDefault="00E80E34">
            <w:pPr>
              <w:jc w:val="right"/>
              <w:rPr>
                <w:lang w:val="en-US"/>
              </w:rPr>
            </w:pPr>
            <w:r w:rsidRPr="009B3FC5">
              <w:t>1.</w:t>
            </w:r>
            <w:r w:rsidR="009B3FC5" w:rsidRPr="009B3FC5">
              <w:t>25</w:t>
            </w:r>
            <w:r w:rsidR="006B6054" w:rsidRPr="009B3FC5">
              <w:rPr>
                <w:lang w:val="en-US"/>
              </w:rPr>
              <w:t>%</w:t>
            </w:r>
          </w:p>
        </w:tc>
      </w:tr>
      <w:tr w:rsidR="00CE6E89" w:rsidRPr="000D1EB3" w14:paraId="5A575375" w14:textId="77777777" w:rsidTr="00CE6E89">
        <w:tc>
          <w:tcPr>
            <w:tcW w:w="5812" w:type="dxa"/>
            <w:tcBorders>
              <w:top w:val="single" w:sz="4" w:space="0" w:color="auto"/>
              <w:bottom w:val="single" w:sz="4" w:space="0" w:color="auto"/>
              <w:right w:val="nil"/>
            </w:tcBorders>
            <w:tcMar>
              <w:bottom w:w="57" w:type="dxa"/>
            </w:tcMar>
          </w:tcPr>
          <w:p w14:paraId="6EE5AD50" w14:textId="78E76B31" w:rsidR="00CE6E89" w:rsidRPr="000D1EB3" w:rsidRDefault="00CE6E89">
            <w:pPr>
              <w:rPr>
                <w:lang w:val="en-US"/>
              </w:rPr>
            </w:pPr>
            <w:r w:rsidRPr="000D1EB3">
              <w:rPr>
                <w:lang w:val="en-US"/>
              </w:rPr>
              <w:t>Other management and administration charges</w:t>
            </w:r>
            <w:r w:rsidR="009A557F">
              <w:rPr>
                <w:lang w:val="en-US"/>
              </w:rPr>
              <w:t>**</w:t>
            </w:r>
          </w:p>
        </w:tc>
        <w:tc>
          <w:tcPr>
            <w:tcW w:w="2268" w:type="dxa"/>
            <w:tcBorders>
              <w:bottom w:val="single" w:sz="4" w:space="0" w:color="auto"/>
            </w:tcBorders>
          </w:tcPr>
          <w:p w14:paraId="7C36B8AA" w14:textId="1DCAEE09" w:rsidR="00CE6E89" w:rsidRPr="009B3FC5" w:rsidRDefault="00E80E34">
            <w:pPr>
              <w:jc w:val="right"/>
              <w:rPr>
                <w:lang w:val="en-US"/>
              </w:rPr>
            </w:pPr>
            <w:r w:rsidRPr="009B3FC5">
              <w:t>0.0</w:t>
            </w:r>
            <w:r w:rsidR="00E00561">
              <w:t>6</w:t>
            </w:r>
            <w:r w:rsidR="00CE6E89" w:rsidRPr="009B3FC5">
              <w:rPr>
                <w:lang w:val="en-US"/>
              </w:rPr>
              <w:t>%</w:t>
            </w:r>
          </w:p>
        </w:tc>
      </w:tr>
      <w:tr w:rsidR="009A557F" w:rsidRPr="000D1EB3" w14:paraId="17E8B35B" w14:textId="77777777" w:rsidTr="00520A79">
        <w:tc>
          <w:tcPr>
            <w:tcW w:w="8080" w:type="dxa"/>
            <w:gridSpan w:val="2"/>
            <w:tcBorders>
              <w:top w:val="single" w:sz="4" w:space="0" w:color="auto"/>
              <w:bottom w:val="nil"/>
            </w:tcBorders>
            <w:tcMar>
              <w:bottom w:w="57" w:type="dxa"/>
            </w:tcMar>
          </w:tcPr>
          <w:p w14:paraId="2275DAF4" w14:textId="77777777" w:rsidR="009A557F" w:rsidRDefault="009A557F">
            <w:pPr>
              <w:rPr>
                <w:sz w:val="15"/>
                <w:szCs w:val="15"/>
                <w:lang w:val="en-US"/>
              </w:rPr>
            </w:pPr>
            <w:r w:rsidRPr="000D1EB3">
              <w:rPr>
                <w:vertAlign w:val="superscript"/>
                <w:lang w:val="en-US"/>
              </w:rPr>
              <w:t xml:space="preserve">* </w:t>
            </w:r>
            <w:r w:rsidRPr="000D1EB3">
              <w:rPr>
                <w:sz w:val="15"/>
                <w:szCs w:val="15"/>
                <w:lang w:val="en-US"/>
              </w:rPr>
              <w:t>All amounts exclude any applicable GST</w:t>
            </w:r>
          </w:p>
          <w:p w14:paraId="1E5D8208" w14:textId="42814430" w:rsidR="009A557F" w:rsidRDefault="009A557F" w:rsidP="00365FF7">
            <w:pPr>
              <w:rPr>
                <w:sz w:val="15"/>
                <w:szCs w:val="15"/>
              </w:rPr>
            </w:pPr>
            <w:r>
              <w:rPr>
                <w:sz w:val="15"/>
                <w:szCs w:val="15"/>
                <w:vertAlign w:val="superscript"/>
              </w:rPr>
              <w:t xml:space="preserve">** </w:t>
            </w:r>
            <w:r w:rsidRPr="005E6069">
              <w:rPr>
                <w:sz w:val="15"/>
                <w:szCs w:val="15"/>
              </w:rPr>
              <w:t>Other management and administration charges comprise fees</w:t>
            </w:r>
            <w:r w:rsidR="00FB4333">
              <w:rPr>
                <w:sz w:val="15"/>
                <w:szCs w:val="15"/>
              </w:rPr>
              <w:t xml:space="preserve"> and expenses (including GST)</w:t>
            </w:r>
            <w:r w:rsidRPr="005E6069">
              <w:rPr>
                <w:sz w:val="15"/>
                <w:szCs w:val="15"/>
              </w:rPr>
              <w:t xml:space="preserve"> paid by the Fund for</w:t>
            </w:r>
            <w:r>
              <w:rPr>
                <w:sz w:val="15"/>
                <w:szCs w:val="15"/>
              </w:rPr>
              <w:t xml:space="preserve"> </w:t>
            </w:r>
            <w:r w:rsidRPr="005E6069">
              <w:rPr>
                <w:sz w:val="15"/>
                <w:szCs w:val="15"/>
              </w:rPr>
              <w:t>its investment in the</w:t>
            </w:r>
            <w:r>
              <w:rPr>
                <w:sz w:val="15"/>
                <w:szCs w:val="15"/>
              </w:rPr>
              <w:t xml:space="preserve"> related funds,</w:t>
            </w:r>
            <w:r w:rsidRPr="005E6069">
              <w:rPr>
                <w:sz w:val="15"/>
                <w:szCs w:val="15"/>
              </w:rPr>
              <w:t xml:space="preserve"> </w:t>
            </w:r>
            <w:r>
              <w:rPr>
                <w:sz w:val="15"/>
                <w:szCs w:val="15"/>
              </w:rPr>
              <w:t>Pathfinder Green Bond Fund, and the Alvarium Sustainable Income Fund</w:t>
            </w:r>
            <w:r w:rsidR="003371B2">
              <w:rPr>
                <w:sz w:val="15"/>
                <w:szCs w:val="15"/>
              </w:rPr>
              <w:t xml:space="preserve"> (</w:t>
            </w:r>
            <w:r w:rsidR="00F17F35">
              <w:rPr>
                <w:sz w:val="15"/>
                <w:szCs w:val="15"/>
              </w:rPr>
              <w:t>replaced by the Pathfinder Wholesale Fixed Interest Fund in July 2025)</w:t>
            </w:r>
            <w:r>
              <w:rPr>
                <w:sz w:val="15"/>
                <w:szCs w:val="15"/>
              </w:rPr>
              <w:t>.</w:t>
            </w:r>
          </w:p>
          <w:p w14:paraId="4DF3AAB5" w14:textId="77777777" w:rsidR="009A557F" w:rsidRPr="000D1EB3" w:rsidRDefault="009A557F">
            <w:pPr>
              <w:jc w:val="right"/>
              <w:rPr>
                <w:lang w:val="en-US"/>
              </w:rPr>
            </w:pPr>
          </w:p>
        </w:tc>
      </w:tr>
    </w:tbl>
    <w:p w14:paraId="2AA1A450" w14:textId="77777777" w:rsidR="00B06780" w:rsidRPr="000D1EB3" w:rsidRDefault="00B06780" w:rsidP="00E80E34"/>
    <w:p w14:paraId="4D763D2F" w14:textId="11521EA1" w:rsidR="000976AB" w:rsidRDefault="006F3ACF" w:rsidP="002A4DE6">
      <w:pPr>
        <w:rPr>
          <w:lang w:val="en-US"/>
        </w:rPr>
      </w:pPr>
      <w:r w:rsidRPr="002C078C">
        <w:rPr>
          <w:color w:val="80A3C5"/>
          <w:szCs w:val="20"/>
          <w:lang w:val="en-US"/>
        </w:rPr>
        <w:t>Performance fees and individual action fees:</w:t>
      </w:r>
      <w:r w:rsidRPr="00FA1018">
        <w:rPr>
          <w:lang w:val="en-US"/>
        </w:rPr>
        <w:t xml:space="preserve"> </w:t>
      </w:r>
      <w:r w:rsidRPr="00C31A2D">
        <w:rPr>
          <w:lang w:val="en-US"/>
        </w:rPr>
        <w:t>There are no performance fees or individual action fees.</w:t>
      </w:r>
    </w:p>
    <w:p w14:paraId="0E527E90" w14:textId="77777777" w:rsidR="00083D29" w:rsidRDefault="00083D29" w:rsidP="002A4DE6">
      <w:pPr>
        <w:rPr>
          <w:lang w:val="en-US"/>
        </w:rPr>
      </w:pPr>
    </w:p>
    <w:p w14:paraId="15B59B9A" w14:textId="284A8252" w:rsidR="002A4DE6" w:rsidRDefault="002A4DE6" w:rsidP="002A4DE6">
      <w:pPr>
        <w:rPr>
          <w:lang w:val="en-US"/>
        </w:rPr>
      </w:pPr>
      <w:r w:rsidRPr="000D1EB3">
        <w:rPr>
          <w:lang w:val="en-US"/>
        </w:rPr>
        <w:t>Small differences in fees and charges can have a big impact on your investment over the long term.</w:t>
      </w:r>
    </w:p>
    <w:p w14:paraId="6AD62215" w14:textId="77777777" w:rsidR="00174EF3" w:rsidRDefault="00174EF3" w:rsidP="002A4DE6">
      <w:pPr>
        <w:rPr>
          <w:lang w:val="en-US"/>
        </w:rPr>
      </w:pPr>
    </w:p>
    <w:p w14:paraId="2B8F4DE4" w14:textId="77777777" w:rsidR="00174EF3" w:rsidRPr="000D1EB3" w:rsidRDefault="00174EF3" w:rsidP="002A4DE6">
      <w:pPr>
        <w:rPr>
          <w:lang w:val="en-US"/>
        </w:rPr>
      </w:pPr>
    </w:p>
    <w:p w14:paraId="73C52F43" w14:textId="77777777" w:rsidR="00CE6E89" w:rsidRPr="000D1EB3" w:rsidRDefault="00CE6E89" w:rsidP="00CE6E89"/>
    <w:p w14:paraId="0E936687" w14:textId="77777777" w:rsidR="00B1073A" w:rsidRDefault="00B1073A" w:rsidP="00CE6E89">
      <w:pPr>
        <w:pStyle w:val="PathfinderHeading2"/>
        <w:rPr>
          <w:sz w:val="32"/>
          <w:szCs w:val="32"/>
          <w:lang w:val="en-US"/>
        </w:rPr>
        <w:sectPr w:rsidR="00B1073A" w:rsidSect="00AF158B">
          <w:pgSz w:w="11900" w:h="16840"/>
          <w:pgMar w:top="3402" w:right="1134" w:bottom="1134" w:left="2552" w:header="709" w:footer="709" w:gutter="0"/>
          <w:cols w:space="708"/>
          <w:docGrid w:linePitch="360"/>
        </w:sectPr>
      </w:pPr>
    </w:p>
    <w:p w14:paraId="2995FCD4" w14:textId="0E1CF232" w:rsidR="00CE6E89" w:rsidRPr="000D1EB3" w:rsidRDefault="00177CE2" w:rsidP="00CE6E89">
      <w:pPr>
        <w:pStyle w:val="PathfinderHeading2"/>
        <w:rPr>
          <w:sz w:val="32"/>
          <w:szCs w:val="32"/>
          <w:lang w:val="en-US"/>
        </w:rPr>
      </w:pPr>
      <w:r w:rsidRPr="000D1EB3">
        <w:rPr>
          <w:rStyle w:val="Heading1Char"/>
          <w:rFonts w:ascii="PP Neue Montreal" w:hAnsi="PP Neue Montreal"/>
          <w:noProof/>
        </w:rPr>
        <w:lastRenderedPageBreak/>
        <w:drawing>
          <wp:anchor distT="0" distB="0" distL="114300" distR="114300" simplePos="0" relativeHeight="251658248" behindDoc="1" locked="1" layoutInCell="1" allowOverlap="1" wp14:anchorId="07D9A25E" wp14:editId="3478B032">
            <wp:simplePos x="0" y="0"/>
            <wp:positionH relativeFrom="page">
              <wp:posOffset>-16510</wp:posOffset>
            </wp:positionH>
            <wp:positionV relativeFrom="page">
              <wp:posOffset>5080</wp:posOffset>
            </wp:positionV>
            <wp:extent cx="7559040" cy="9808210"/>
            <wp:effectExtent l="0" t="0" r="3810" b="2540"/>
            <wp:wrapNone/>
            <wp:docPr id="1278014632" name="Picture 127801463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14632" name="Picture 1278014632" descr="A white background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6E89" w:rsidRPr="00CF02E5">
        <w:rPr>
          <w:sz w:val="32"/>
          <w:szCs w:val="32"/>
          <w:lang w:val="en-US"/>
        </w:rPr>
        <w:t>Example of how this applies to an investor</w:t>
      </w:r>
    </w:p>
    <w:p w14:paraId="03DC5E5F" w14:textId="77777777" w:rsidR="003168D9" w:rsidRPr="000D1EB3" w:rsidRDefault="003168D9" w:rsidP="009C2391"/>
    <w:p w14:paraId="31CF1BF5" w14:textId="7CAE28E2" w:rsidR="00083D29" w:rsidRPr="00D241DA" w:rsidRDefault="009C2391" w:rsidP="00B1073A">
      <w:r w:rsidRPr="000D1EB3">
        <w:t xml:space="preserve">Angela had $10,000 in the fund at the start of the year and did not make any further contributions. At the end of the year, Angela </w:t>
      </w:r>
      <w:r w:rsidR="00CF02E5">
        <w:t>received a return</w:t>
      </w:r>
      <w:r w:rsidRPr="000D1EB3">
        <w:t xml:space="preserve"> after fund charges were </w:t>
      </w:r>
      <w:r w:rsidRPr="00D241DA">
        <w:t>deducted of $</w:t>
      </w:r>
      <w:r w:rsidR="00757B56">
        <w:t>796</w:t>
      </w:r>
      <w:r w:rsidR="002926BA" w:rsidRPr="00D241DA">
        <w:t xml:space="preserve"> </w:t>
      </w:r>
      <w:r w:rsidRPr="00D241DA">
        <w:t>(that is</w:t>
      </w:r>
      <w:r w:rsidR="008D4181" w:rsidRPr="00D241DA">
        <w:t xml:space="preserve"> </w:t>
      </w:r>
      <w:r w:rsidR="00757B56">
        <w:t>7.96</w:t>
      </w:r>
      <w:r w:rsidRPr="00D241DA">
        <w:t xml:space="preserve">% of her initial $10,000). Angela did not pay any other charges. This gives Angela a total </w:t>
      </w:r>
      <w:r w:rsidR="00320BFF" w:rsidRPr="00D241DA">
        <w:t>return</w:t>
      </w:r>
      <w:r w:rsidRPr="00D241DA">
        <w:t xml:space="preserve"> after charges and tax of $</w:t>
      </w:r>
      <w:r w:rsidR="00757B56">
        <w:t>716</w:t>
      </w:r>
      <w:r w:rsidR="00AE64CF" w:rsidRPr="00D241DA">
        <w:t xml:space="preserve"> </w:t>
      </w:r>
      <w:r w:rsidRPr="00D241DA">
        <w:t>for the year.</w:t>
      </w:r>
    </w:p>
    <w:p w14:paraId="645B4F02" w14:textId="77777777" w:rsidR="00C76DD7" w:rsidRPr="00C76DD7" w:rsidRDefault="00C76DD7" w:rsidP="00C76DD7"/>
    <w:p w14:paraId="0EAFEE17" w14:textId="1DBDCC73" w:rsidR="001D17D0" w:rsidRPr="000D1EB3" w:rsidRDefault="001D17D0" w:rsidP="001D17D0">
      <w:pPr>
        <w:pStyle w:val="Heading1"/>
        <w:rPr>
          <w:rFonts w:ascii="PP Neue Montreal" w:hAnsi="PP Neue Montreal"/>
        </w:rPr>
      </w:pPr>
      <w:r w:rsidRPr="00956B88">
        <w:rPr>
          <w:rFonts w:ascii="PP Neue Montreal" w:hAnsi="PP Neue Montreal"/>
        </w:rPr>
        <w:t>What does the fund invest in?</w:t>
      </w:r>
    </w:p>
    <w:p w14:paraId="2B749EAB" w14:textId="77777777" w:rsidR="0017099F" w:rsidRDefault="00CE6E89" w:rsidP="00CE6E89">
      <w:r w:rsidRPr="000D1EB3">
        <w:t>This shows the type of assets that the fund invests in.</w:t>
      </w:r>
    </w:p>
    <w:p w14:paraId="4601A16E" w14:textId="09A3A11C" w:rsidR="00747EE0" w:rsidRDefault="00B43F08" w:rsidP="00CE6E89">
      <w:r>
        <w:rPr>
          <w:noProof/>
        </w:rPr>
        <w:drawing>
          <wp:inline distT="0" distB="0" distL="0" distR="0" wp14:anchorId="656857B5" wp14:editId="3012507A">
            <wp:extent cx="2413635" cy="4226560"/>
            <wp:effectExtent l="0" t="0" r="5715" b="2540"/>
            <wp:docPr id="828568571" name="Chart 1">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85021">
        <w:rPr>
          <w:noProof/>
        </w:rPr>
        <w:drawing>
          <wp:inline distT="0" distB="0" distL="0" distR="0" wp14:anchorId="569C9157" wp14:editId="7EE6DA37">
            <wp:extent cx="2477069" cy="4237630"/>
            <wp:effectExtent l="0" t="0" r="0" b="0"/>
            <wp:docPr id="1304746921" name="Chart 1">
              <a:extLst xmlns:a="http://schemas.openxmlformats.org/drawingml/2006/main">
                <a:ext uri="{FF2B5EF4-FFF2-40B4-BE49-F238E27FC236}">
                  <a16:creationId xmlns:a16="http://schemas.microsoft.com/office/drawing/2014/main" id="{8F32B20B-B641-5C89-4460-3913B35B0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2A729B" w14:textId="03D2BBBF" w:rsidR="00747EE0" w:rsidRPr="000D1EB3" w:rsidRDefault="00747EE0" w:rsidP="00CE6E89">
      <w:pPr>
        <w:sectPr w:rsidR="00747EE0" w:rsidRPr="000D1EB3" w:rsidSect="00AF158B">
          <w:pgSz w:w="11900" w:h="16840"/>
          <w:pgMar w:top="3402" w:right="1134" w:bottom="1134" w:left="2552" w:header="709" w:footer="709" w:gutter="0"/>
          <w:cols w:space="708"/>
          <w:docGrid w:linePitch="360"/>
        </w:sectPr>
      </w:pPr>
    </w:p>
    <w:p w14:paraId="59C2EFB5" w14:textId="757DDA8B" w:rsidR="00CE6E89" w:rsidRPr="000D1EB3" w:rsidRDefault="00CE6E89" w:rsidP="00CE6E89"/>
    <w:p w14:paraId="52735CE3" w14:textId="584390DD" w:rsidR="0017099F" w:rsidRPr="000D1EB3" w:rsidRDefault="0017099F" w:rsidP="003A3324">
      <w:pPr>
        <w:pStyle w:val="PathfinderHeading2"/>
        <w:sectPr w:rsidR="0017099F" w:rsidRPr="000D1EB3" w:rsidSect="00AF158B">
          <w:type w:val="continuous"/>
          <w:pgSz w:w="11900" w:h="16840"/>
          <w:pgMar w:top="3402" w:right="1134" w:bottom="1134" w:left="2552" w:header="709" w:footer="709" w:gutter="0"/>
          <w:cols w:num="2" w:space="708"/>
          <w:docGrid w:linePitch="360"/>
        </w:sectPr>
      </w:pPr>
    </w:p>
    <w:p w14:paraId="097C01E3" w14:textId="77777777" w:rsidR="00747EE0" w:rsidRPr="00747EE0" w:rsidRDefault="00747EE0" w:rsidP="00747EE0">
      <w:pPr>
        <w:sectPr w:rsidR="00747EE0" w:rsidRPr="00747EE0" w:rsidSect="00AF158B">
          <w:type w:val="continuous"/>
          <w:pgSz w:w="11900" w:h="16840"/>
          <w:pgMar w:top="3402" w:right="1134" w:bottom="1134" w:left="2552" w:header="709" w:footer="709" w:gutter="0"/>
          <w:cols w:space="708"/>
          <w:docGrid w:linePitch="360"/>
        </w:sectPr>
      </w:pPr>
    </w:p>
    <w:p w14:paraId="43814C44" w14:textId="6A8B64DE" w:rsidR="00EC2B70" w:rsidRPr="000D1EB3" w:rsidRDefault="00B33819" w:rsidP="00D03200">
      <w:pPr>
        <w:pStyle w:val="Heading1"/>
        <w:rPr>
          <w:rFonts w:ascii="PP Neue Montreal" w:hAnsi="PP Neue Montreal"/>
        </w:rPr>
      </w:pPr>
      <w:r w:rsidRPr="001A1940">
        <w:rPr>
          <w:rFonts w:ascii="PP Neue Montreal" w:hAnsi="PP Neue Montreal"/>
        </w:rPr>
        <w:lastRenderedPageBreak/>
        <w:t>Top 10 investments</w:t>
      </w:r>
      <w:r w:rsidR="00177CE2" w:rsidRPr="001A1940">
        <w:rPr>
          <w:rStyle w:val="Heading1Char"/>
          <w:rFonts w:ascii="PP Neue Montreal" w:hAnsi="PP Neue Montreal"/>
          <w:noProof/>
        </w:rPr>
        <w:drawing>
          <wp:anchor distT="0" distB="0" distL="114300" distR="114300" simplePos="0" relativeHeight="251658249" behindDoc="1" locked="1" layoutInCell="1" allowOverlap="1" wp14:anchorId="276B1A58" wp14:editId="48D9E000">
            <wp:simplePos x="0" y="0"/>
            <wp:positionH relativeFrom="page">
              <wp:align>left</wp:align>
            </wp:positionH>
            <wp:positionV relativeFrom="page">
              <wp:align>top</wp:align>
            </wp:positionV>
            <wp:extent cx="7559040" cy="9808210"/>
            <wp:effectExtent l="0" t="0" r="3810" b="2540"/>
            <wp:wrapNone/>
            <wp:docPr id="38484815" name="Picture 38484815"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91828" name="Picture 1132291828" descr="A white background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D205F1" w14:textId="77777777" w:rsidR="006109A5" w:rsidRPr="000D1EB3" w:rsidRDefault="006109A5" w:rsidP="006109A5"/>
    <w:tbl>
      <w:tblPr>
        <w:tblStyle w:val="Pathfindertable"/>
        <w:tblW w:w="8595" w:type="dxa"/>
        <w:tblLayout w:type="fixed"/>
        <w:tblLook w:val="04A0" w:firstRow="1" w:lastRow="0" w:firstColumn="1" w:lastColumn="0" w:noHBand="0" w:noVBand="1"/>
      </w:tblPr>
      <w:tblGrid>
        <w:gridCol w:w="3115"/>
        <w:gridCol w:w="1416"/>
        <w:gridCol w:w="1565"/>
        <w:gridCol w:w="987"/>
        <w:gridCol w:w="1512"/>
      </w:tblGrid>
      <w:tr w:rsidR="003106EF" w:rsidRPr="000D1EB3" w14:paraId="12523AC6" w14:textId="77777777" w:rsidTr="00040075">
        <w:trPr>
          <w:cnfStyle w:val="100000000000" w:firstRow="1" w:lastRow="0" w:firstColumn="0" w:lastColumn="0" w:oddVBand="0" w:evenVBand="0" w:oddHBand="0" w:evenHBand="0" w:firstRowFirstColumn="0" w:firstRowLastColumn="0" w:lastRowFirstColumn="0" w:lastRowLastColumn="0"/>
        </w:trPr>
        <w:tc>
          <w:tcPr>
            <w:tcW w:w="3115" w:type="dxa"/>
          </w:tcPr>
          <w:p w14:paraId="5257A1AC" w14:textId="10751BC6" w:rsidR="006629FC" w:rsidRPr="000D1EB3" w:rsidRDefault="00B06780" w:rsidP="006629FC">
            <w:pPr>
              <w:pStyle w:val="PathfinderHeading2"/>
              <w:rPr>
                <w:lang w:val="en-US"/>
              </w:rPr>
            </w:pPr>
            <w:r w:rsidRPr="000D1EB3">
              <w:rPr>
                <w:lang w:val="en-US"/>
              </w:rPr>
              <w:t>Name</w:t>
            </w:r>
          </w:p>
        </w:tc>
        <w:tc>
          <w:tcPr>
            <w:tcW w:w="1416" w:type="dxa"/>
          </w:tcPr>
          <w:p w14:paraId="06E21C94" w14:textId="0FECF4B9" w:rsidR="006629FC" w:rsidRPr="000D1EB3" w:rsidRDefault="00B06780" w:rsidP="006629FC">
            <w:pPr>
              <w:pStyle w:val="PathfinderHeading2"/>
              <w:spacing w:line="240" w:lineRule="auto"/>
              <w:jc w:val="center"/>
              <w:rPr>
                <w:lang w:val="en-US"/>
              </w:rPr>
            </w:pPr>
            <w:r w:rsidRPr="000D1EB3">
              <w:rPr>
                <w:lang w:val="en-US"/>
              </w:rPr>
              <w:t>% of net asset value</w:t>
            </w:r>
          </w:p>
        </w:tc>
        <w:tc>
          <w:tcPr>
            <w:tcW w:w="1565" w:type="dxa"/>
          </w:tcPr>
          <w:p w14:paraId="2B6F0C1E" w14:textId="3189D63F" w:rsidR="006629FC" w:rsidRPr="000D1EB3" w:rsidRDefault="00B06780" w:rsidP="006629FC">
            <w:pPr>
              <w:pStyle w:val="PathfinderHeading2"/>
              <w:jc w:val="center"/>
              <w:rPr>
                <w:lang w:val="en-US"/>
              </w:rPr>
            </w:pPr>
            <w:r w:rsidRPr="000D1EB3">
              <w:rPr>
                <w:lang w:val="en-US"/>
              </w:rPr>
              <w:t>Type</w:t>
            </w:r>
          </w:p>
        </w:tc>
        <w:tc>
          <w:tcPr>
            <w:tcW w:w="987" w:type="dxa"/>
          </w:tcPr>
          <w:p w14:paraId="5E30B722" w14:textId="0BBA0DC3" w:rsidR="006629FC" w:rsidRPr="000D1EB3" w:rsidRDefault="00B06780" w:rsidP="006629FC">
            <w:pPr>
              <w:pStyle w:val="PathfinderHeading2"/>
              <w:jc w:val="center"/>
              <w:rPr>
                <w:lang w:val="en-US"/>
              </w:rPr>
            </w:pPr>
            <w:r w:rsidRPr="000D1EB3">
              <w:rPr>
                <w:lang w:val="en-US"/>
              </w:rPr>
              <w:t>Country</w:t>
            </w:r>
          </w:p>
        </w:tc>
        <w:tc>
          <w:tcPr>
            <w:tcW w:w="1512" w:type="dxa"/>
          </w:tcPr>
          <w:p w14:paraId="0DEE8432" w14:textId="4708A409" w:rsidR="006629FC" w:rsidRPr="000D1EB3" w:rsidRDefault="00B06780" w:rsidP="006629FC">
            <w:pPr>
              <w:pStyle w:val="PathfinderHeading2"/>
              <w:jc w:val="center"/>
              <w:rPr>
                <w:lang w:val="en-US"/>
              </w:rPr>
            </w:pPr>
            <w:r w:rsidRPr="000D1EB3">
              <w:rPr>
                <w:lang w:val="en-US"/>
              </w:rPr>
              <w:t>Credit Rating</w:t>
            </w:r>
          </w:p>
        </w:tc>
      </w:tr>
      <w:tr w:rsidR="00BB7B45" w:rsidRPr="000D1EB3" w14:paraId="66E198CB" w14:textId="77777777" w:rsidTr="00E934F5">
        <w:trPr>
          <w:trHeight w:val="680"/>
        </w:trPr>
        <w:tc>
          <w:tcPr>
            <w:tcW w:w="3115" w:type="dxa"/>
            <w:vAlign w:val="center"/>
          </w:tcPr>
          <w:p w14:paraId="0E5EA837" w14:textId="57A8E84E" w:rsidR="00BB7B45" w:rsidRPr="00DF5F91" w:rsidRDefault="00BB7B45" w:rsidP="00BB7B45">
            <w:pPr>
              <w:spacing w:line="240" w:lineRule="auto"/>
            </w:pPr>
            <w:r>
              <w:t xml:space="preserve">NZD </w:t>
            </w:r>
            <w:r w:rsidRPr="00F60F37">
              <w:t>Cash at Bank</w:t>
            </w:r>
            <w:r>
              <w:t>- Westpac</w:t>
            </w:r>
          </w:p>
        </w:tc>
        <w:tc>
          <w:tcPr>
            <w:tcW w:w="1416" w:type="dxa"/>
            <w:vAlign w:val="center"/>
          </w:tcPr>
          <w:p w14:paraId="60680046" w14:textId="74C83292" w:rsidR="00BB7B45" w:rsidRPr="00654CBA" w:rsidRDefault="00BB7B45" w:rsidP="00BB7B45">
            <w:pPr>
              <w:spacing w:line="240" w:lineRule="auto"/>
              <w:jc w:val="center"/>
            </w:pPr>
            <w:r w:rsidRPr="005059F1">
              <w:t>10.83%</w:t>
            </w:r>
          </w:p>
        </w:tc>
        <w:tc>
          <w:tcPr>
            <w:tcW w:w="1565" w:type="dxa"/>
            <w:vAlign w:val="center"/>
          </w:tcPr>
          <w:p w14:paraId="10DF6369" w14:textId="2B18E85A" w:rsidR="00BB7B45" w:rsidRPr="00DF5F91" w:rsidRDefault="00BB7B45" w:rsidP="00BB7B45">
            <w:pPr>
              <w:spacing w:line="240" w:lineRule="auto"/>
              <w:jc w:val="center"/>
            </w:pPr>
            <w:r w:rsidRPr="00DF5F91">
              <w:t>Cash and cash equivalents</w:t>
            </w:r>
          </w:p>
        </w:tc>
        <w:tc>
          <w:tcPr>
            <w:tcW w:w="987" w:type="dxa"/>
            <w:vAlign w:val="center"/>
          </w:tcPr>
          <w:p w14:paraId="64F56EC9" w14:textId="1C730F1E" w:rsidR="00BB7B45" w:rsidRPr="00DF5F91" w:rsidRDefault="00BB7B45" w:rsidP="00BB7B45">
            <w:pPr>
              <w:spacing w:line="240" w:lineRule="auto"/>
              <w:jc w:val="center"/>
            </w:pPr>
            <w:r w:rsidRPr="00DF5F91">
              <w:t>NZ</w:t>
            </w:r>
          </w:p>
        </w:tc>
        <w:tc>
          <w:tcPr>
            <w:tcW w:w="1512" w:type="dxa"/>
            <w:vAlign w:val="center"/>
          </w:tcPr>
          <w:p w14:paraId="36A80557" w14:textId="0517C0A7" w:rsidR="00BB7B45" w:rsidRPr="00DF5F91" w:rsidRDefault="00BB7B45" w:rsidP="00BB7B45">
            <w:pPr>
              <w:spacing w:line="240" w:lineRule="auto"/>
              <w:jc w:val="center"/>
            </w:pPr>
            <w:r w:rsidRPr="00DF5F91">
              <w:t>AA-</w:t>
            </w:r>
          </w:p>
        </w:tc>
      </w:tr>
      <w:tr w:rsidR="00BB7B45" w:rsidRPr="000D1EB3" w14:paraId="48D10E20" w14:textId="77777777" w:rsidTr="00E934F5">
        <w:trPr>
          <w:trHeight w:val="680"/>
        </w:trPr>
        <w:tc>
          <w:tcPr>
            <w:tcW w:w="3115" w:type="dxa"/>
            <w:vAlign w:val="center"/>
          </w:tcPr>
          <w:p w14:paraId="77AF9ACE" w14:textId="4D23A30E" w:rsidR="00BB7B45" w:rsidRPr="00DF5F91" w:rsidRDefault="00BB7B45" w:rsidP="00BB7B45">
            <w:pPr>
              <w:spacing w:line="240" w:lineRule="auto"/>
            </w:pPr>
            <w:r w:rsidRPr="00F60F37">
              <w:t>Microsoft Corporation</w:t>
            </w:r>
          </w:p>
        </w:tc>
        <w:tc>
          <w:tcPr>
            <w:tcW w:w="1416" w:type="dxa"/>
            <w:vAlign w:val="center"/>
          </w:tcPr>
          <w:p w14:paraId="26D2C2BB" w14:textId="6C47890D" w:rsidR="00BB7B45" w:rsidRPr="00654CBA" w:rsidRDefault="00BB7B45" w:rsidP="00BB7B45">
            <w:pPr>
              <w:spacing w:line="240" w:lineRule="auto"/>
              <w:jc w:val="center"/>
            </w:pPr>
            <w:r w:rsidRPr="005059F1">
              <w:t>2.46%</w:t>
            </w:r>
          </w:p>
        </w:tc>
        <w:tc>
          <w:tcPr>
            <w:tcW w:w="1565" w:type="dxa"/>
            <w:vAlign w:val="center"/>
          </w:tcPr>
          <w:p w14:paraId="7E853701" w14:textId="4FB08197" w:rsidR="00BB7B45" w:rsidRPr="00DF5F91" w:rsidRDefault="00BB7B45" w:rsidP="00BB7B45">
            <w:pPr>
              <w:spacing w:line="240" w:lineRule="auto"/>
              <w:jc w:val="center"/>
            </w:pPr>
            <w:r w:rsidRPr="00DF5F91">
              <w:t>International equities</w:t>
            </w:r>
          </w:p>
        </w:tc>
        <w:tc>
          <w:tcPr>
            <w:tcW w:w="987" w:type="dxa"/>
            <w:vAlign w:val="center"/>
          </w:tcPr>
          <w:p w14:paraId="579C0E9C" w14:textId="14E10C43" w:rsidR="00BB7B45" w:rsidRPr="00DF5F91" w:rsidRDefault="00BB7B45" w:rsidP="00BB7B45">
            <w:pPr>
              <w:spacing w:line="240" w:lineRule="auto"/>
              <w:jc w:val="center"/>
            </w:pPr>
            <w:r w:rsidRPr="00DF5F91">
              <w:t>US</w:t>
            </w:r>
          </w:p>
        </w:tc>
        <w:tc>
          <w:tcPr>
            <w:tcW w:w="1512" w:type="dxa"/>
            <w:vAlign w:val="center"/>
          </w:tcPr>
          <w:p w14:paraId="18E94A38" w14:textId="18A01AB8" w:rsidR="00BB7B45" w:rsidRPr="00DF5F91" w:rsidRDefault="00BB7B45" w:rsidP="00BB7B45">
            <w:pPr>
              <w:spacing w:line="240" w:lineRule="auto"/>
              <w:jc w:val="center"/>
            </w:pPr>
            <w:r w:rsidRPr="00DF5F91">
              <w:t>N/A</w:t>
            </w:r>
          </w:p>
        </w:tc>
      </w:tr>
      <w:tr w:rsidR="00BB7B45" w:rsidRPr="000D1EB3" w14:paraId="48444F97" w14:textId="77777777" w:rsidTr="00E934F5">
        <w:trPr>
          <w:trHeight w:val="680"/>
        </w:trPr>
        <w:tc>
          <w:tcPr>
            <w:tcW w:w="3115" w:type="dxa"/>
            <w:vAlign w:val="center"/>
          </w:tcPr>
          <w:p w14:paraId="27CDDBBF" w14:textId="276B9D49" w:rsidR="00BB7B45" w:rsidRPr="00DF5F91" w:rsidRDefault="00BB7B45" w:rsidP="00BB7B45">
            <w:pPr>
              <w:spacing w:line="240" w:lineRule="auto"/>
            </w:pPr>
            <w:r w:rsidRPr="00F60F37">
              <w:t>NVIDIA Corp</w:t>
            </w:r>
          </w:p>
        </w:tc>
        <w:tc>
          <w:tcPr>
            <w:tcW w:w="1416" w:type="dxa"/>
            <w:vAlign w:val="center"/>
          </w:tcPr>
          <w:p w14:paraId="1F74030F" w14:textId="2E3C65ED" w:rsidR="00BB7B45" w:rsidRPr="00654CBA" w:rsidRDefault="00BB7B45" w:rsidP="00BB7B45">
            <w:pPr>
              <w:spacing w:line="240" w:lineRule="auto"/>
              <w:jc w:val="center"/>
            </w:pPr>
            <w:r w:rsidRPr="005059F1">
              <w:t>1.92%</w:t>
            </w:r>
          </w:p>
        </w:tc>
        <w:tc>
          <w:tcPr>
            <w:tcW w:w="1565" w:type="dxa"/>
            <w:vAlign w:val="center"/>
          </w:tcPr>
          <w:p w14:paraId="40A613AA" w14:textId="6E07F35D" w:rsidR="00BB7B45" w:rsidRPr="00DF5F91" w:rsidRDefault="00BB7B45" w:rsidP="00BB7B45">
            <w:pPr>
              <w:spacing w:line="240" w:lineRule="auto"/>
              <w:jc w:val="center"/>
            </w:pPr>
            <w:r w:rsidRPr="00DF5F91">
              <w:t>International equities</w:t>
            </w:r>
          </w:p>
        </w:tc>
        <w:tc>
          <w:tcPr>
            <w:tcW w:w="987" w:type="dxa"/>
            <w:vAlign w:val="center"/>
          </w:tcPr>
          <w:p w14:paraId="3E4D49F5" w14:textId="421039FC" w:rsidR="00BB7B45" w:rsidRPr="00DF5F91" w:rsidRDefault="00BB7B45" w:rsidP="00BB7B45">
            <w:pPr>
              <w:spacing w:line="240" w:lineRule="auto"/>
              <w:jc w:val="center"/>
            </w:pPr>
            <w:r w:rsidRPr="00DF5F91">
              <w:t>US</w:t>
            </w:r>
          </w:p>
        </w:tc>
        <w:tc>
          <w:tcPr>
            <w:tcW w:w="1512" w:type="dxa"/>
            <w:vAlign w:val="center"/>
          </w:tcPr>
          <w:p w14:paraId="361B16BE" w14:textId="0892A205" w:rsidR="00BB7B45" w:rsidRPr="00DF5F91" w:rsidRDefault="00BB7B45" w:rsidP="00BB7B45">
            <w:pPr>
              <w:spacing w:line="240" w:lineRule="auto"/>
              <w:jc w:val="center"/>
            </w:pPr>
            <w:r w:rsidRPr="00DF5F91">
              <w:t>N/A</w:t>
            </w:r>
          </w:p>
        </w:tc>
      </w:tr>
      <w:tr w:rsidR="00BB7B45" w:rsidRPr="000D1EB3" w14:paraId="7AF9EC88" w14:textId="77777777" w:rsidTr="00E934F5">
        <w:trPr>
          <w:trHeight w:val="680"/>
        </w:trPr>
        <w:tc>
          <w:tcPr>
            <w:tcW w:w="3115" w:type="dxa"/>
            <w:vAlign w:val="center"/>
          </w:tcPr>
          <w:p w14:paraId="42CDF080" w14:textId="01426335" w:rsidR="00BB7B45" w:rsidRPr="00DF5F91" w:rsidRDefault="00BB7B45" w:rsidP="00BB7B45">
            <w:pPr>
              <w:spacing w:line="240" w:lineRule="auto"/>
            </w:pPr>
            <w:r w:rsidRPr="00F60F37">
              <w:t>Fisher &amp; Paykel Healthcare Ltd</w:t>
            </w:r>
          </w:p>
        </w:tc>
        <w:tc>
          <w:tcPr>
            <w:tcW w:w="1416" w:type="dxa"/>
            <w:vAlign w:val="center"/>
          </w:tcPr>
          <w:p w14:paraId="71904842" w14:textId="639937E4" w:rsidR="00BB7B45" w:rsidRPr="00654CBA" w:rsidRDefault="00BB7B45" w:rsidP="00BB7B45">
            <w:pPr>
              <w:spacing w:line="240" w:lineRule="auto"/>
              <w:jc w:val="center"/>
              <w:rPr>
                <w:rFonts w:cs="Tahoma"/>
                <w:color w:val="000000"/>
                <w:szCs w:val="20"/>
              </w:rPr>
            </w:pPr>
            <w:r w:rsidRPr="005059F1">
              <w:t>1.90%</w:t>
            </w:r>
          </w:p>
        </w:tc>
        <w:tc>
          <w:tcPr>
            <w:tcW w:w="1565" w:type="dxa"/>
            <w:vAlign w:val="center"/>
          </w:tcPr>
          <w:p w14:paraId="473107C2" w14:textId="676DB35C" w:rsidR="00BB7B45" w:rsidRPr="00DF5F91" w:rsidRDefault="00BB7B45" w:rsidP="00BB7B45">
            <w:pPr>
              <w:spacing w:line="240" w:lineRule="auto"/>
              <w:jc w:val="center"/>
            </w:pPr>
            <w:r w:rsidRPr="00BB7B45">
              <w:t>Australasian equities</w:t>
            </w:r>
          </w:p>
        </w:tc>
        <w:tc>
          <w:tcPr>
            <w:tcW w:w="987" w:type="dxa"/>
            <w:vAlign w:val="center"/>
          </w:tcPr>
          <w:p w14:paraId="3F037A03" w14:textId="3EE77220" w:rsidR="00BB7B45" w:rsidRPr="00DF5F91" w:rsidRDefault="002569C0" w:rsidP="00BB7B45">
            <w:pPr>
              <w:spacing w:line="240" w:lineRule="auto"/>
              <w:jc w:val="center"/>
            </w:pPr>
            <w:r>
              <w:t>NZ</w:t>
            </w:r>
          </w:p>
        </w:tc>
        <w:tc>
          <w:tcPr>
            <w:tcW w:w="1512" w:type="dxa"/>
            <w:vAlign w:val="center"/>
          </w:tcPr>
          <w:p w14:paraId="036CAB72" w14:textId="6F459E0B" w:rsidR="00BB7B45" w:rsidRPr="00DF5F91" w:rsidRDefault="00BB7B45" w:rsidP="00BB7B45">
            <w:pPr>
              <w:spacing w:line="240" w:lineRule="auto"/>
              <w:jc w:val="center"/>
            </w:pPr>
            <w:r w:rsidRPr="00DF5F91">
              <w:t>N/A</w:t>
            </w:r>
          </w:p>
        </w:tc>
      </w:tr>
      <w:tr w:rsidR="00BB7B45" w:rsidRPr="000D1EB3" w14:paraId="331E7717" w14:textId="77777777" w:rsidTr="00E934F5">
        <w:trPr>
          <w:trHeight w:val="680"/>
        </w:trPr>
        <w:tc>
          <w:tcPr>
            <w:tcW w:w="3115" w:type="dxa"/>
            <w:vAlign w:val="center"/>
          </w:tcPr>
          <w:p w14:paraId="60F41F7B" w14:textId="5C46087D" w:rsidR="00BB7B45" w:rsidRPr="00DF5F91" w:rsidRDefault="00BB7B45" w:rsidP="00BB7B45">
            <w:pPr>
              <w:spacing w:line="240" w:lineRule="auto"/>
            </w:pPr>
            <w:r w:rsidRPr="00F60F37">
              <w:t>Apple Inc</w:t>
            </w:r>
          </w:p>
        </w:tc>
        <w:tc>
          <w:tcPr>
            <w:tcW w:w="1416" w:type="dxa"/>
            <w:vAlign w:val="center"/>
          </w:tcPr>
          <w:p w14:paraId="1068981D" w14:textId="51CDDCDE" w:rsidR="00BB7B45" w:rsidRPr="00654CBA" w:rsidRDefault="00BB7B45" w:rsidP="00BB7B45">
            <w:pPr>
              <w:spacing w:line="240" w:lineRule="auto"/>
              <w:jc w:val="center"/>
              <w:rPr>
                <w:rFonts w:cs="Tahoma"/>
                <w:color w:val="000000"/>
                <w:szCs w:val="20"/>
              </w:rPr>
            </w:pPr>
            <w:r w:rsidRPr="005059F1">
              <w:t>1.65%</w:t>
            </w:r>
          </w:p>
        </w:tc>
        <w:tc>
          <w:tcPr>
            <w:tcW w:w="1565" w:type="dxa"/>
            <w:vAlign w:val="center"/>
          </w:tcPr>
          <w:p w14:paraId="17A04FA1" w14:textId="3F0D5FAD" w:rsidR="00BB7B45" w:rsidRPr="00DF5F91" w:rsidRDefault="00BB7B45" w:rsidP="00BB7B45">
            <w:pPr>
              <w:spacing w:line="240" w:lineRule="auto"/>
              <w:jc w:val="center"/>
            </w:pPr>
            <w:r w:rsidRPr="00DF5F91">
              <w:t>Australasian equities</w:t>
            </w:r>
          </w:p>
        </w:tc>
        <w:tc>
          <w:tcPr>
            <w:tcW w:w="987" w:type="dxa"/>
            <w:vAlign w:val="center"/>
          </w:tcPr>
          <w:p w14:paraId="7C1B84B6" w14:textId="2247C37B" w:rsidR="00BB7B45" w:rsidRPr="00DF5F91" w:rsidRDefault="00267151" w:rsidP="00BB7B45">
            <w:pPr>
              <w:spacing w:line="240" w:lineRule="auto"/>
              <w:jc w:val="center"/>
            </w:pPr>
            <w:r>
              <w:t>US</w:t>
            </w:r>
          </w:p>
        </w:tc>
        <w:tc>
          <w:tcPr>
            <w:tcW w:w="1512" w:type="dxa"/>
            <w:vAlign w:val="center"/>
          </w:tcPr>
          <w:p w14:paraId="46BF4748" w14:textId="7CB0C62E" w:rsidR="00BB7B45" w:rsidRPr="00DF5F91" w:rsidRDefault="00BB7B45" w:rsidP="00BB7B45">
            <w:pPr>
              <w:spacing w:line="240" w:lineRule="auto"/>
              <w:jc w:val="center"/>
            </w:pPr>
            <w:r w:rsidRPr="00DF5F91">
              <w:t>N/A</w:t>
            </w:r>
          </w:p>
        </w:tc>
      </w:tr>
      <w:tr w:rsidR="00BB7B45" w:rsidRPr="000D1EB3" w14:paraId="2F39FFB4" w14:textId="77777777" w:rsidTr="00E934F5">
        <w:trPr>
          <w:trHeight w:val="680"/>
        </w:trPr>
        <w:tc>
          <w:tcPr>
            <w:tcW w:w="3115" w:type="dxa"/>
            <w:vAlign w:val="center"/>
          </w:tcPr>
          <w:p w14:paraId="32CB7058" w14:textId="470FF536" w:rsidR="00BB7B45" w:rsidRPr="00DF5F91" w:rsidRDefault="00BB7B45" w:rsidP="00BB7B45">
            <w:pPr>
              <w:spacing w:line="240" w:lineRule="auto"/>
            </w:pPr>
            <w:r w:rsidRPr="00F60F37">
              <w:t>Alphabet Inc Class A</w:t>
            </w:r>
          </w:p>
        </w:tc>
        <w:tc>
          <w:tcPr>
            <w:tcW w:w="1416" w:type="dxa"/>
            <w:vAlign w:val="center"/>
          </w:tcPr>
          <w:p w14:paraId="41A1A248" w14:textId="2E0BC774" w:rsidR="00BB7B45" w:rsidRPr="00654CBA" w:rsidRDefault="00BB7B45" w:rsidP="00BB7B45">
            <w:pPr>
              <w:spacing w:line="240" w:lineRule="auto"/>
              <w:jc w:val="center"/>
              <w:rPr>
                <w:rFonts w:cs="Tahoma"/>
                <w:color w:val="000000"/>
                <w:szCs w:val="20"/>
              </w:rPr>
            </w:pPr>
            <w:r w:rsidRPr="005059F1">
              <w:t>1.42%</w:t>
            </w:r>
          </w:p>
        </w:tc>
        <w:tc>
          <w:tcPr>
            <w:tcW w:w="1565" w:type="dxa"/>
            <w:vAlign w:val="center"/>
          </w:tcPr>
          <w:p w14:paraId="70DB747A" w14:textId="62C402E1" w:rsidR="00BB7B45" w:rsidRPr="00DF5F91" w:rsidRDefault="00BB7B45" w:rsidP="00BB7B45">
            <w:pPr>
              <w:spacing w:line="240" w:lineRule="auto"/>
              <w:jc w:val="center"/>
            </w:pPr>
            <w:r w:rsidRPr="00DF5F91">
              <w:t>International equities</w:t>
            </w:r>
          </w:p>
        </w:tc>
        <w:tc>
          <w:tcPr>
            <w:tcW w:w="987" w:type="dxa"/>
            <w:vAlign w:val="center"/>
          </w:tcPr>
          <w:p w14:paraId="2E1061BC" w14:textId="3FB3235C" w:rsidR="00BB7B45" w:rsidRPr="00DF5F91" w:rsidRDefault="00267151" w:rsidP="00BB7B45">
            <w:pPr>
              <w:spacing w:line="240" w:lineRule="auto"/>
              <w:jc w:val="center"/>
            </w:pPr>
            <w:r>
              <w:t>US</w:t>
            </w:r>
          </w:p>
        </w:tc>
        <w:tc>
          <w:tcPr>
            <w:tcW w:w="1512" w:type="dxa"/>
            <w:vAlign w:val="center"/>
          </w:tcPr>
          <w:p w14:paraId="4582350D" w14:textId="077C1588" w:rsidR="00BB7B45" w:rsidRPr="00DF5F91" w:rsidRDefault="00BB7B45" w:rsidP="00BB7B45">
            <w:pPr>
              <w:spacing w:line="240" w:lineRule="auto"/>
              <w:jc w:val="center"/>
            </w:pPr>
            <w:r w:rsidRPr="00DF5F91">
              <w:t>N/A</w:t>
            </w:r>
          </w:p>
        </w:tc>
      </w:tr>
      <w:tr w:rsidR="00BB7B45" w:rsidRPr="000D1EB3" w14:paraId="4D547EBC" w14:textId="77777777" w:rsidTr="00E934F5">
        <w:trPr>
          <w:trHeight w:val="680"/>
        </w:trPr>
        <w:tc>
          <w:tcPr>
            <w:tcW w:w="3115" w:type="dxa"/>
            <w:vAlign w:val="center"/>
          </w:tcPr>
          <w:p w14:paraId="5F1356E8" w14:textId="6CB73ADD" w:rsidR="00BB7B45" w:rsidRPr="00DF5F91" w:rsidRDefault="00BB7B45" w:rsidP="00BB7B45">
            <w:pPr>
              <w:spacing w:line="240" w:lineRule="auto"/>
            </w:pPr>
            <w:r w:rsidRPr="00F60F37">
              <w:t>Infratil Ltd</w:t>
            </w:r>
          </w:p>
        </w:tc>
        <w:tc>
          <w:tcPr>
            <w:tcW w:w="1416" w:type="dxa"/>
            <w:vAlign w:val="center"/>
          </w:tcPr>
          <w:p w14:paraId="03F9FD2B" w14:textId="42179401" w:rsidR="00BB7B45" w:rsidRPr="00654CBA" w:rsidRDefault="00BB7B45" w:rsidP="00BB7B45">
            <w:pPr>
              <w:spacing w:line="240" w:lineRule="auto"/>
              <w:jc w:val="center"/>
              <w:rPr>
                <w:rFonts w:cs="Tahoma"/>
                <w:color w:val="000000"/>
                <w:szCs w:val="20"/>
              </w:rPr>
            </w:pPr>
            <w:r w:rsidRPr="005059F1">
              <w:t>1.26%</w:t>
            </w:r>
          </w:p>
        </w:tc>
        <w:tc>
          <w:tcPr>
            <w:tcW w:w="1565" w:type="dxa"/>
            <w:vAlign w:val="center"/>
          </w:tcPr>
          <w:p w14:paraId="287209E7" w14:textId="47FA1B2B" w:rsidR="00BB7B45" w:rsidRPr="00DF5F91" w:rsidRDefault="00BB7B45" w:rsidP="00BB7B45">
            <w:pPr>
              <w:spacing w:line="240" w:lineRule="auto"/>
              <w:jc w:val="center"/>
            </w:pPr>
            <w:r w:rsidRPr="00DF5F91">
              <w:t>Australasian equities</w:t>
            </w:r>
          </w:p>
        </w:tc>
        <w:tc>
          <w:tcPr>
            <w:tcW w:w="987" w:type="dxa"/>
            <w:vAlign w:val="center"/>
          </w:tcPr>
          <w:p w14:paraId="39F2ADFF" w14:textId="59684704" w:rsidR="00BB7B45" w:rsidRPr="00DF5F91" w:rsidRDefault="00267151" w:rsidP="00BB7B45">
            <w:pPr>
              <w:spacing w:line="240" w:lineRule="auto"/>
              <w:jc w:val="center"/>
            </w:pPr>
            <w:r>
              <w:t>NZ</w:t>
            </w:r>
          </w:p>
        </w:tc>
        <w:tc>
          <w:tcPr>
            <w:tcW w:w="1512" w:type="dxa"/>
            <w:vAlign w:val="center"/>
          </w:tcPr>
          <w:p w14:paraId="2E09E9A1" w14:textId="4FB904C6" w:rsidR="00BB7B45" w:rsidRPr="00DF5F91" w:rsidRDefault="00BB7B45" w:rsidP="00BB7B45">
            <w:pPr>
              <w:spacing w:line="240" w:lineRule="auto"/>
              <w:jc w:val="center"/>
            </w:pPr>
            <w:r>
              <w:t>N/A</w:t>
            </w:r>
          </w:p>
        </w:tc>
      </w:tr>
      <w:tr w:rsidR="00BB7B45" w:rsidRPr="000D1EB3" w14:paraId="0CEC5457" w14:textId="77777777" w:rsidTr="00E934F5">
        <w:trPr>
          <w:trHeight w:val="680"/>
        </w:trPr>
        <w:tc>
          <w:tcPr>
            <w:tcW w:w="3115" w:type="dxa"/>
            <w:vAlign w:val="center"/>
          </w:tcPr>
          <w:p w14:paraId="3D8EC372" w14:textId="36B8EE8F" w:rsidR="00BB7B45" w:rsidRPr="00DF5F91" w:rsidRDefault="00BB7B45" w:rsidP="00BB7B45">
            <w:pPr>
              <w:spacing w:line="240" w:lineRule="auto"/>
            </w:pPr>
            <w:r w:rsidRPr="00F60F37">
              <w:t>Broadcom Inc</w:t>
            </w:r>
          </w:p>
        </w:tc>
        <w:tc>
          <w:tcPr>
            <w:tcW w:w="1416" w:type="dxa"/>
            <w:vAlign w:val="center"/>
          </w:tcPr>
          <w:p w14:paraId="28ECBB64" w14:textId="16D3E236" w:rsidR="00BB7B45" w:rsidRPr="00654CBA" w:rsidRDefault="00BB7B45" w:rsidP="00BB7B45">
            <w:pPr>
              <w:spacing w:line="240" w:lineRule="auto"/>
              <w:jc w:val="center"/>
              <w:rPr>
                <w:rFonts w:cs="Tahoma"/>
                <w:color w:val="000000"/>
                <w:szCs w:val="20"/>
              </w:rPr>
            </w:pPr>
            <w:r w:rsidRPr="005059F1">
              <w:t>0.98%</w:t>
            </w:r>
          </w:p>
        </w:tc>
        <w:tc>
          <w:tcPr>
            <w:tcW w:w="1565" w:type="dxa"/>
            <w:vAlign w:val="center"/>
          </w:tcPr>
          <w:p w14:paraId="1CDDB00A" w14:textId="0CD3283F" w:rsidR="00BB7B45" w:rsidRPr="00DF5F91" w:rsidRDefault="00BB7B45" w:rsidP="00BB7B45">
            <w:pPr>
              <w:spacing w:line="240" w:lineRule="auto"/>
              <w:jc w:val="center"/>
            </w:pPr>
            <w:r w:rsidRPr="00DF5F91">
              <w:t>International equities</w:t>
            </w:r>
          </w:p>
        </w:tc>
        <w:tc>
          <w:tcPr>
            <w:tcW w:w="987" w:type="dxa"/>
            <w:vAlign w:val="center"/>
          </w:tcPr>
          <w:p w14:paraId="7FB738C2" w14:textId="46219C50" w:rsidR="00BB7B45" w:rsidRPr="00DF5F91" w:rsidRDefault="00267151" w:rsidP="00BB7B45">
            <w:pPr>
              <w:spacing w:line="240" w:lineRule="auto"/>
              <w:jc w:val="center"/>
            </w:pPr>
            <w:r>
              <w:t>US</w:t>
            </w:r>
          </w:p>
        </w:tc>
        <w:tc>
          <w:tcPr>
            <w:tcW w:w="1512" w:type="dxa"/>
            <w:vAlign w:val="center"/>
          </w:tcPr>
          <w:p w14:paraId="33097578" w14:textId="08B3AA44" w:rsidR="00BB7B45" w:rsidRPr="00DF5F91" w:rsidRDefault="00BB7B45" w:rsidP="00BB7B45">
            <w:pPr>
              <w:spacing w:line="240" w:lineRule="auto"/>
              <w:jc w:val="center"/>
            </w:pPr>
            <w:r w:rsidRPr="00DF5F91">
              <w:t>N/A</w:t>
            </w:r>
          </w:p>
        </w:tc>
      </w:tr>
      <w:tr w:rsidR="00BB7B45" w:rsidRPr="000D1EB3" w14:paraId="5A87A4E9" w14:textId="77777777" w:rsidTr="00E934F5">
        <w:trPr>
          <w:trHeight w:val="680"/>
        </w:trPr>
        <w:tc>
          <w:tcPr>
            <w:tcW w:w="3115" w:type="dxa"/>
            <w:vAlign w:val="center"/>
          </w:tcPr>
          <w:p w14:paraId="616C359E" w14:textId="1F3F927A" w:rsidR="00BB7B45" w:rsidRPr="00DF5F91" w:rsidRDefault="00BB7B45" w:rsidP="00BB7B45">
            <w:pPr>
              <w:spacing w:line="240" w:lineRule="auto"/>
            </w:pPr>
            <w:r w:rsidRPr="00F60F37">
              <w:t>National Australia Bank Ltd</w:t>
            </w:r>
          </w:p>
        </w:tc>
        <w:tc>
          <w:tcPr>
            <w:tcW w:w="1416" w:type="dxa"/>
            <w:vAlign w:val="center"/>
          </w:tcPr>
          <w:p w14:paraId="0F51C817" w14:textId="00557721" w:rsidR="00BB7B45" w:rsidRPr="00654CBA" w:rsidRDefault="00BB7B45" w:rsidP="00BB7B45">
            <w:pPr>
              <w:spacing w:line="240" w:lineRule="auto"/>
              <w:jc w:val="center"/>
              <w:rPr>
                <w:rFonts w:cs="Tahoma"/>
                <w:color w:val="000000"/>
                <w:szCs w:val="20"/>
              </w:rPr>
            </w:pPr>
            <w:r w:rsidRPr="005059F1">
              <w:t>0.93%</w:t>
            </w:r>
          </w:p>
        </w:tc>
        <w:tc>
          <w:tcPr>
            <w:tcW w:w="1565" w:type="dxa"/>
            <w:vAlign w:val="center"/>
          </w:tcPr>
          <w:p w14:paraId="4F75DE17" w14:textId="4003FCC4" w:rsidR="00BB7B45" w:rsidRPr="00DF5F91" w:rsidRDefault="00BB7B45" w:rsidP="00BB7B45">
            <w:pPr>
              <w:spacing w:line="240" w:lineRule="auto"/>
              <w:jc w:val="center"/>
            </w:pPr>
            <w:r>
              <w:t>Australasian equities</w:t>
            </w:r>
          </w:p>
        </w:tc>
        <w:tc>
          <w:tcPr>
            <w:tcW w:w="987" w:type="dxa"/>
            <w:vAlign w:val="center"/>
          </w:tcPr>
          <w:p w14:paraId="77D5F9FC" w14:textId="315535DB" w:rsidR="00BB7B45" w:rsidRPr="00DF5F91" w:rsidRDefault="00BB7B45" w:rsidP="00BB7B45">
            <w:pPr>
              <w:spacing w:line="240" w:lineRule="auto"/>
              <w:jc w:val="center"/>
            </w:pPr>
            <w:r>
              <w:t>AU</w:t>
            </w:r>
          </w:p>
        </w:tc>
        <w:tc>
          <w:tcPr>
            <w:tcW w:w="1512" w:type="dxa"/>
            <w:vAlign w:val="center"/>
          </w:tcPr>
          <w:p w14:paraId="66E42C62" w14:textId="33BD4473" w:rsidR="00BB7B45" w:rsidRPr="00DF5F91" w:rsidRDefault="00BB7B45" w:rsidP="00BB7B45">
            <w:pPr>
              <w:spacing w:line="240" w:lineRule="auto"/>
              <w:jc w:val="center"/>
            </w:pPr>
            <w:r>
              <w:t>N/A</w:t>
            </w:r>
          </w:p>
        </w:tc>
      </w:tr>
      <w:tr w:rsidR="00BB7B45" w:rsidRPr="000D1EB3" w14:paraId="1780CD2C" w14:textId="77777777" w:rsidTr="00E934F5">
        <w:trPr>
          <w:trHeight w:val="680"/>
        </w:trPr>
        <w:tc>
          <w:tcPr>
            <w:tcW w:w="3115" w:type="dxa"/>
            <w:vAlign w:val="center"/>
          </w:tcPr>
          <w:p w14:paraId="3F401769" w14:textId="787885B4" w:rsidR="00BB7B45" w:rsidRPr="00DF5F91" w:rsidRDefault="00BB7B45" w:rsidP="00BB7B45">
            <w:pPr>
              <w:spacing w:line="240" w:lineRule="auto"/>
            </w:pPr>
            <w:r w:rsidRPr="00F60F37">
              <w:t>Meridian Energy Limited</w:t>
            </w:r>
          </w:p>
        </w:tc>
        <w:tc>
          <w:tcPr>
            <w:tcW w:w="1416" w:type="dxa"/>
            <w:vAlign w:val="center"/>
          </w:tcPr>
          <w:p w14:paraId="18CEE320" w14:textId="30C7CBC3" w:rsidR="00BB7B45" w:rsidRPr="00654CBA" w:rsidRDefault="00BB7B45" w:rsidP="00BB7B45">
            <w:pPr>
              <w:spacing w:line="240" w:lineRule="auto"/>
              <w:jc w:val="center"/>
              <w:rPr>
                <w:rFonts w:cs="Tahoma"/>
                <w:color w:val="000000"/>
                <w:szCs w:val="20"/>
              </w:rPr>
            </w:pPr>
            <w:r w:rsidRPr="005059F1">
              <w:t>0.91%</w:t>
            </w:r>
          </w:p>
        </w:tc>
        <w:tc>
          <w:tcPr>
            <w:tcW w:w="1565" w:type="dxa"/>
            <w:vAlign w:val="center"/>
          </w:tcPr>
          <w:p w14:paraId="53EBFD25" w14:textId="307E388B" w:rsidR="00BB7B45" w:rsidRPr="00DF5F91" w:rsidRDefault="00BB7B45" w:rsidP="00BB7B45">
            <w:pPr>
              <w:spacing w:line="240" w:lineRule="auto"/>
              <w:jc w:val="center"/>
            </w:pPr>
            <w:r>
              <w:t>Australasian equities</w:t>
            </w:r>
          </w:p>
        </w:tc>
        <w:tc>
          <w:tcPr>
            <w:tcW w:w="987" w:type="dxa"/>
            <w:vAlign w:val="center"/>
          </w:tcPr>
          <w:p w14:paraId="1F5B48F6" w14:textId="0B2B06BB" w:rsidR="00BB7B45" w:rsidRPr="00DF5F91" w:rsidRDefault="00BB7B45" w:rsidP="00BB7B45">
            <w:pPr>
              <w:spacing w:line="240" w:lineRule="auto"/>
              <w:jc w:val="center"/>
            </w:pPr>
            <w:r>
              <w:t>NZ</w:t>
            </w:r>
          </w:p>
        </w:tc>
        <w:tc>
          <w:tcPr>
            <w:tcW w:w="1512" w:type="dxa"/>
            <w:vAlign w:val="center"/>
          </w:tcPr>
          <w:p w14:paraId="0C0ADB04" w14:textId="1B6A30AB" w:rsidR="00BB7B45" w:rsidRPr="00DF5F91" w:rsidRDefault="00BB7B45" w:rsidP="00BB7B45">
            <w:pPr>
              <w:spacing w:line="240" w:lineRule="auto"/>
              <w:jc w:val="center"/>
            </w:pPr>
            <w:r>
              <w:t>N/A</w:t>
            </w:r>
          </w:p>
        </w:tc>
      </w:tr>
    </w:tbl>
    <w:p w14:paraId="01B56FE2" w14:textId="77777777" w:rsidR="001D17D0" w:rsidRPr="000D1EB3" w:rsidRDefault="001D17D0" w:rsidP="001D17D0"/>
    <w:p w14:paraId="24C62B9F" w14:textId="0CC47D54" w:rsidR="00FC218E" w:rsidRDefault="009F17E1" w:rsidP="009C2391">
      <w:r w:rsidRPr="000D1EB3">
        <w:t>The</w:t>
      </w:r>
      <w:r w:rsidR="00B06780" w:rsidRPr="000D1EB3">
        <w:t xml:space="preserve"> total value of the</w:t>
      </w:r>
      <w:r w:rsidRPr="000D1EB3">
        <w:t xml:space="preserve"> top 10 investments ma</w:t>
      </w:r>
      <w:r w:rsidRPr="00C63826">
        <w:t xml:space="preserve">ke up </w:t>
      </w:r>
      <w:r w:rsidR="00A217CB">
        <w:t>24.26</w:t>
      </w:r>
      <w:r w:rsidRPr="00C63826">
        <w:t xml:space="preserve">% of the </w:t>
      </w:r>
      <w:r w:rsidRPr="000D1EB3">
        <w:t xml:space="preserve">net asset value of the fund. </w:t>
      </w:r>
    </w:p>
    <w:p w14:paraId="2AC389E5" w14:textId="77777777" w:rsidR="00FC218E" w:rsidRDefault="00FC218E" w:rsidP="009C2391"/>
    <w:p w14:paraId="50442386" w14:textId="03DC49CD" w:rsidR="009C2391" w:rsidRPr="000D1EB3" w:rsidRDefault="009F17E1" w:rsidP="009C2391">
      <w:r w:rsidRPr="00F4210A">
        <w:rPr>
          <w:color w:val="80A3C5"/>
          <w:szCs w:val="20"/>
          <w:lang w:val="en-US"/>
        </w:rPr>
        <w:t>Currency hedging:</w:t>
      </w:r>
      <w:r w:rsidRPr="00F4210A">
        <w:t xml:space="preserve"> </w:t>
      </w:r>
      <w:r w:rsidR="00285798" w:rsidRPr="00F4210A">
        <w:t>Changes</w:t>
      </w:r>
      <w:r w:rsidR="00285798" w:rsidRPr="00285798">
        <w:t xml:space="preserve"> in the value of the NZ dollar relative to other currencies can have a big impact on your investment over the long term. The target currency hedging is 50% of non-NZD equity exposure and 100% of non-NZD fixed interest exposure (actual hedging level was </w:t>
      </w:r>
      <w:r w:rsidR="0049056B">
        <w:t>5</w:t>
      </w:r>
      <w:r w:rsidR="00DE1BF6">
        <w:t>8.</w:t>
      </w:r>
      <w:r w:rsidR="00B6240E">
        <w:t>8</w:t>
      </w:r>
      <w:r w:rsidR="00DE1BF6">
        <w:t>4</w:t>
      </w:r>
      <w:r w:rsidR="00285798" w:rsidRPr="00285798">
        <w:t>% at 3</w:t>
      </w:r>
      <w:r w:rsidR="00BD3E06">
        <w:t>1</w:t>
      </w:r>
      <w:r w:rsidR="00285798" w:rsidRPr="00285798">
        <w:t xml:space="preserve"> </w:t>
      </w:r>
      <w:r w:rsidR="00BD3E06">
        <w:t>December</w:t>
      </w:r>
      <w:r w:rsidR="00285798" w:rsidRPr="00285798">
        <w:t xml:space="preserve"> 2025 (this will change over time)). Total unhedged foreign currency exposure is </w:t>
      </w:r>
      <w:r w:rsidR="00DE1BF6">
        <w:t>27.49</w:t>
      </w:r>
      <w:r w:rsidR="00285798" w:rsidRPr="00285798">
        <w:t>% of the net asset value of the fund at 3</w:t>
      </w:r>
      <w:r w:rsidR="00BD3E06">
        <w:t>1</w:t>
      </w:r>
      <w:r w:rsidR="00285798" w:rsidRPr="00285798">
        <w:t xml:space="preserve"> </w:t>
      </w:r>
      <w:r w:rsidR="00BD3E06">
        <w:t>December</w:t>
      </w:r>
      <w:r w:rsidR="00285798" w:rsidRPr="00285798">
        <w:t xml:space="preserve"> 2025 (this will change over time).</w:t>
      </w:r>
    </w:p>
    <w:p w14:paraId="23F10AFB" w14:textId="00A993AF" w:rsidR="00397348" w:rsidRPr="000D1EB3" w:rsidRDefault="00177CE2" w:rsidP="00397348">
      <w:pPr>
        <w:pStyle w:val="Heading1"/>
        <w:rPr>
          <w:rFonts w:ascii="PP Neue Montreal" w:hAnsi="PP Neue Montreal"/>
        </w:rPr>
      </w:pPr>
      <w:r w:rsidRPr="00A76F4C">
        <w:rPr>
          <w:rStyle w:val="Heading1Char"/>
          <w:rFonts w:ascii="PP Neue Montreal" w:hAnsi="PP Neue Montreal"/>
          <w:noProof/>
        </w:rPr>
        <w:lastRenderedPageBreak/>
        <w:drawing>
          <wp:anchor distT="0" distB="0" distL="114300" distR="114300" simplePos="0" relativeHeight="251658250" behindDoc="1" locked="1" layoutInCell="1" allowOverlap="1" wp14:anchorId="04935DCB" wp14:editId="5BF2E3A8">
            <wp:simplePos x="0" y="0"/>
            <wp:positionH relativeFrom="page">
              <wp:align>right</wp:align>
            </wp:positionH>
            <wp:positionV relativeFrom="page">
              <wp:align>top</wp:align>
            </wp:positionV>
            <wp:extent cx="7559040" cy="9808210"/>
            <wp:effectExtent l="0" t="0" r="3810" b="2540"/>
            <wp:wrapNone/>
            <wp:docPr id="1880916689" name="Picture 188091668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14632" name="Picture 1278014632" descr="A white background with black text&#10;&#10;Description automatically generated"/>
                    <pic:cNvPicPr/>
                  </pic:nvPicPr>
                  <pic:blipFill rotWithShape="1">
                    <a:blip r:embed="rId15" cstate="print">
                      <a:extLst>
                        <a:ext uri="{28A0092B-C50C-407E-A947-70E740481C1C}">
                          <a14:useLocalDpi xmlns:a14="http://schemas.microsoft.com/office/drawing/2010/main" val="0"/>
                        </a:ext>
                      </a:extLst>
                    </a:blip>
                    <a:srcRect b="8200"/>
                    <a:stretch/>
                  </pic:blipFill>
                  <pic:spPr bwMode="auto">
                    <a:xfrm>
                      <a:off x="0" y="0"/>
                      <a:ext cx="7559040" cy="980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2391" w:rsidRPr="00A76F4C">
        <w:rPr>
          <w:rFonts w:ascii="PP Neue Montreal" w:hAnsi="PP Neue Montreal"/>
        </w:rPr>
        <w:t>Key personnel</w:t>
      </w:r>
    </w:p>
    <w:tbl>
      <w:tblPr>
        <w:tblStyle w:val="Pathfindertable"/>
        <w:tblW w:w="8222" w:type="dxa"/>
        <w:tblLayout w:type="fixed"/>
        <w:tblCellMar>
          <w:top w:w="113" w:type="dxa"/>
          <w:bottom w:w="113" w:type="dxa"/>
        </w:tblCellMar>
        <w:tblLook w:val="04A0" w:firstRow="1" w:lastRow="0" w:firstColumn="1" w:lastColumn="0" w:noHBand="0" w:noVBand="1"/>
      </w:tblPr>
      <w:tblGrid>
        <w:gridCol w:w="1560"/>
        <w:gridCol w:w="1984"/>
        <w:gridCol w:w="1559"/>
        <w:gridCol w:w="1701"/>
        <w:gridCol w:w="1418"/>
      </w:tblGrid>
      <w:tr w:rsidR="00397348" w:rsidRPr="000D1EB3" w14:paraId="36D88636" w14:textId="77777777" w:rsidTr="00397348">
        <w:trPr>
          <w:cnfStyle w:val="100000000000" w:firstRow="1" w:lastRow="0" w:firstColumn="0" w:lastColumn="0" w:oddVBand="0" w:evenVBand="0" w:oddHBand="0" w:evenHBand="0" w:firstRowFirstColumn="0" w:firstRowLastColumn="0" w:lastRowFirstColumn="0" w:lastRowLastColumn="0"/>
        </w:trPr>
        <w:tc>
          <w:tcPr>
            <w:tcW w:w="1560" w:type="dxa"/>
            <w:tcMar>
              <w:bottom w:w="57" w:type="dxa"/>
            </w:tcMar>
          </w:tcPr>
          <w:p w14:paraId="713EFA73" w14:textId="77777777" w:rsidR="00397348" w:rsidRPr="000D1EB3" w:rsidRDefault="00397348" w:rsidP="00397348">
            <w:pPr>
              <w:pStyle w:val="PathfinderHeading2"/>
              <w:spacing w:line="240" w:lineRule="auto"/>
              <w:rPr>
                <w:lang w:val="en-US"/>
              </w:rPr>
            </w:pPr>
            <w:r w:rsidRPr="000D1EB3">
              <w:rPr>
                <w:lang w:val="en-US"/>
              </w:rPr>
              <w:t>Name</w:t>
            </w:r>
          </w:p>
        </w:tc>
        <w:tc>
          <w:tcPr>
            <w:tcW w:w="1984" w:type="dxa"/>
          </w:tcPr>
          <w:p w14:paraId="181B019F" w14:textId="77777777" w:rsidR="00397348" w:rsidRPr="000D1EB3" w:rsidRDefault="00397348" w:rsidP="00397348">
            <w:pPr>
              <w:pStyle w:val="PathfinderHeading2"/>
              <w:spacing w:line="240" w:lineRule="auto"/>
              <w:jc w:val="center"/>
              <w:rPr>
                <w:lang w:val="en-US"/>
              </w:rPr>
            </w:pPr>
            <w:r w:rsidRPr="000D1EB3">
              <w:rPr>
                <w:lang w:val="en-US"/>
              </w:rPr>
              <w:t>Current position</w:t>
            </w:r>
          </w:p>
        </w:tc>
        <w:tc>
          <w:tcPr>
            <w:tcW w:w="1559" w:type="dxa"/>
          </w:tcPr>
          <w:p w14:paraId="5F19DD58" w14:textId="77777777" w:rsidR="00397348" w:rsidRPr="00806315" w:rsidRDefault="00397348" w:rsidP="00397348">
            <w:pPr>
              <w:pStyle w:val="PathfinderHeading2"/>
              <w:spacing w:line="240" w:lineRule="auto"/>
              <w:jc w:val="center"/>
              <w:rPr>
                <w:lang w:val="en-US"/>
              </w:rPr>
            </w:pPr>
            <w:r w:rsidRPr="00806315">
              <w:rPr>
                <w:lang w:val="en-US"/>
              </w:rPr>
              <w:t>Time in position</w:t>
            </w:r>
          </w:p>
        </w:tc>
        <w:tc>
          <w:tcPr>
            <w:tcW w:w="1701" w:type="dxa"/>
          </w:tcPr>
          <w:p w14:paraId="7E4D55BA" w14:textId="77777777" w:rsidR="00397348" w:rsidRPr="000D1EB3" w:rsidRDefault="00397348" w:rsidP="00397348">
            <w:pPr>
              <w:pStyle w:val="PathfinderHeading2"/>
              <w:spacing w:line="240" w:lineRule="auto"/>
              <w:jc w:val="center"/>
              <w:rPr>
                <w:lang w:val="en-US"/>
              </w:rPr>
            </w:pPr>
            <w:r w:rsidRPr="000D1EB3">
              <w:rPr>
                <w:lang w:val="en-US"/>
              </w:rPr>
              <w:t>Previous position</w:t>
            </w:r>
          </w:p>
        </w:tc>
        <w:tc>
          <w:tcPr>
            <w:tcW w:w="1418" w:type="dxa"/>
          </w:tcPr>
          <w:p w14:paraId="77DEBBD3" w14:textId="77777777" w:rsidR="00397348" w:rsidRPr="000D1EB3" w:rsidRDefault="00397348" w:rsidP="00397348">
            <w:pPr>
              <w:pStyle w:val="PathfinderHeading2"/>
              <w:spacing w:line="240" w:lineRule="auto"/>
              <w:jc w:val="center"/>
              <w:rPr>
                <w:lang w:val="en-US"/>
              </w:rPr>
            </w:pPr>
            <w:r w:rsidRPr="000D1EB3">
              <w:rPr>
                <w:lang w:val="en-US"/>
              </w:rPr>
              <w:t>Time in position</w:t>
            </w:r>
          </w:p>
        </w:tc>
      </w:tr>
      <w:tr w:rsidR="00397348" w:rsidRPr="000D1EB3" w14:paraId="5D69EFAC" w14:textId="77777777" w:rsidTr="00140C6F">
        <w:tc>
          <w:tcPr>
            <w:tcW w:w="0" w:type="dxa"/>
            <w:tcMar>
              <w:bottom w:w="57" w:type="dxa"/>
            </w:tcMar>
            <w:vAlign w:val="top"/>
          </w:tcPr>
          <w:p w14:paraId="2BA1A980" w14:textId="77777777" w:rsidR="00397348" w:rsidRPr="000D1EB3" w:rsidRDefault="00397348" w:rsidP="00397348">
            <w:pPr>
              <w:spacing w:line="240" w:lineRule="auto"/>
              <w:rPr>
                <w:lang w:val="en-US"/>
              </w:rPr>
            </w:pPr>
            <w:r w:rsidRPr="000D1EB3">
              <w:rPr>
                <w:lang w:val="en-US"/>
              </w:rPr>
              <w:t>John Berry</w:t>
            </w:r>
          </w:p>
        </w:tc>
        <w:tc>
          <w:tcPr>
            <w:tcW w:w="0" w:type="dxa"/>
            <w:tcMar>
              <w:bottom w:w="57" w:type="dxa"/>
            </w:tcMar>
            <w:vAlign w:val="top"/>
          </w:tcPr>
          <w:p w14:paraId="73F04BD8" w14:textId="77777777" w:rsidR="00397348" w:rsidRPr="000D1EB3" w:rsidRDefault="00397348" w:rsidP="00397348">
            <w:pPr>
              <w:spacing w:line="240" w:lineRule="auto"/>
              <w:jc w:val="center"/>
              <w:rPr>
                <w:lang w:val="en-US"/>
              </w:rPr>
            </w:pPr>
            <w:r w:rsidRPr="000D1EB3">
              <w:t>Chief Executive Officer</w:t>
            </w:r>
          </w:p>
        </w:tc>
        <w:tc>
          <w:tcPr>
            <w:tcW w:w="0" w:type="dxa"/>
            <w:vAlign w:val="top"/>
          </w:tcPr>
          <w:p w14:paraId="00E19A32" w14:textId="700EE550" w:rsidR="00397348" w:rsidRPr="00806315" w:rsidRDefault="00F75182" w:rsidP="00397348">
            <w:pPr>
              <w:spacing w:line="240" w:lineRule="auto"/>
              <w:jc w:val="center"/>
            </w:pPr>
            <w:r w:rsidRPr="00806315">
              <w:t>1</w:t>
            </w:r>
            <w:r w:rsidR="008A0D8C">
              <w:t>6</w:t>
            </w:r>
            <w:r w:rsidR="00397348" w:rsidRPr="00806315">
              <w:t xml:space="preserve"> years</w:t>
            </w:r>
          </w:p>
          <w:p w14:paraId="649A8E16" w14:textId="23E4C926" w:rsidR="003D5BF1" w:rsidRPr="00806315" w:rsidRDefault="00645565" w:rsidP="00397348">
            <w:pPr>
              <w:spacing w:line="240" w:lineRule="auto"/>
              <w:jc w:val="center"/>
            </w:pPr>
            <w:r>
              <w:t>9</w:t>
            </w:r>
            <w:r w:rsidR="00437207">
              <w:t xml:space="preserve"> </w:t>
            </w:r>
            <w:r w:rsidR="00D46CA7">
              <w:t>m</w:t>
            </w:r>
            <w:r w:rsidR="00437207">
              <w:t>onths</w:t>
            </w:r>
          </w:p>
        </w:tc>
        <w:tc>
          <w:tcPr>
            <w:tcW w:w="0" w:type="dxa"/>
            <w:vAlign w:val="top"/>
          </w:tcPr>
          <w:p w14:paraId="1849BC22" w14:textId="77777777" w:rsidR="00397348" w:rsidRPr="000D1EB3" w:rsidRDefault="00397348" w:rsidP="00397348">
            <w:pPr>
              <w:spacing w:line="240" w:lineRule="auto"/>
              <w:jc w:val="center"/>
            </w:pPr>
            <w:r w:rsidRPr="000D1EB3">
              <w:t>Deutsche Bank - Consultant</w:t>
            </w:r>
          </w:p>
        </w:tc>
        <w:tc>
          <w:tcPr>
            <w:tcW w:w="0" w:type="dxa"/>
            <w:vAlign w:val="top"/>
          </w:tcPr>
          <w:p w14:paraId="5FC32B88" w14:textId="587AF682" w:rsidR="00397348" w:rsidRPr="000D1EB3" w:rsidRDefault="009610CC" w:rsidP="00397348">
            <w:pPr>
              <w:spacing w:line="240" w:lineRule="auto"/>
              <w:jc w:val="center"/>
            </w:pPr>
            <w:r>
              <w:t>5</w:t>
            </w:r>
            <w:r w:rsidR="00397348" w:rsidRPr="000D1EB3">
              <w:t xml:space="preserve"> years</w:t>
            </w:r>
            <w:r w:rsidR="00397348" w:rsidRPr="000D1EB3">
              <w:br/>
            </w:r>
          </w:p>
        </w:tc>
      </w:tr>
      <w:tr w:rsidR="00397348" w:rsidRPr="000D1EB3" w14:paraId="64663492" w14:textId="77777777" w:rsidTr="00140C6F">
        <w:tc>
          <w:tcPr>
            <w:tcW w:w="0" w:type="dxa"/>
            <w:tcMar>
              <w:bottom w:w="57" w:type="dxa"/>
            </w:tcMar>
            <w:vAlign w:val="top"/>
          </w:tcPr>
          <w:p w14:paraId="441C8F92" w14:textId="304C97F1" w:rsidR="00397348" w:rsidRPr="000D1EB3" w:rsidRDefault="00437207" w:rsidP="00397348">
            <w:pPr>
              <w:spacing w:line="240" w:lineRule="auto"/>
              <w:rPr>
                <w:lang w:val="en-US"/>
              </w:rPr>
            </w:pPr>
            <w:r>
              <w:rPr>
                <w:lang w:val="en-US"/>
              </w:rPr>
              <w:t>David Lewis</w:t>
            </w:r>
          </w:p>
        </w:tc>
        <w:tc>
          <w:tcPr>
            <w:tcW w:w="0" w:type="dxa"/>
            <w:tcMar>
              <w:bottom w:w="57" w:type="dxa"/>
            </w:tcMar>
            <w:vAlign w:val="top"/>
          </w:tcPr>
          <w:p w14:paraId="16BCB812" w14:textId="124F0FF0" w:rsidR="00397348" w:rsidRPr="000D1EB3" w:rsidRDefault="00A76F4C" w:rsidP="00397348">
            <w:pPr>
              <w:spacing w:line="240" w:lineRule="auto"/>
              <w:jc w:val="center"/>
              <w:rPr>
                <w:lang w:val="en-US"/>
              </w:rPr>
            </w:pPr>
            <w:r>
              <w:rPr>
                <w:lang w:val="en-US"/>
              </w:rPr>
              <w:t>Chief Investment Officer</w:t>
            </w:r>
          </w:p>
        </w:tc>
        <w:tc>
          <w:tcPr>
            <w:tcW w:w="0" w:type="dxa"/>
            <w:vAlign w:val="top"/>
          </w:tcPr>
          <w:p w14:paraId="60EE50D2" w14:textId="343D1492" w:rsidR="00A76F4C" w:rsidRPr="00806315" w:rsidRDefault="00645565" w:rsidP="00397348">
            <w:pPr>
              <w:spacing w:line="240" w:lineRule="auto"/>
              <w:jc w:val="center"/>
              <w:rPr>
                <w:lang w:val="en-US"/>
              </w:rPr>
            </w:pPr>
            <w:r>
              <w:rPr>
                <w:lang w:val="en-US"/>
              </w:rPr>
              <w:t>8</w:t>
            </w:r>
            <w:r w:rsidR="00CF5285">
              <w:rPr>
                <w:lang w:val="en-US"/>
              </w:rPr>
              <w:t xml:space="preserve"> </w:t>
            </w:r>
            <w:r w:rsidR="00D46CA7">
              <w:rPr>
                <w:lang w:val="en-US"/>
              </w:rPr>
              <w:t>m</w:t>
            </w:r>
            <w:r w:rsidR="00CF5285">
              <w:rPr>
                <w:lang w:val="en-US"/>
              </w:rPr>
              <w:t>onths</w:t>
            </w:r>
          </w:p>
        </w:tc>
        <w:tc>
          <w:tcPr>
            <w:tcW w:w="0" w:type="dxa"/>
            <w:vAlign w:val="top"/>
          </w:tcPr>
          <w:p w14:paraId="319F70AA" w14:textId="1904D540" w:rsidR="00397348" w:rsidRPr="001C2458" w:rsidRDefault="001C2458" w:rsidP="00397348">
            <w:pPr>
              <w:spacing w:line="240" w:lineRule="auto"/>
              <w:jc w:val="center"/>
              <w:rPr>
                <w:lang w:val="en-US"/>
              </w:rPr>
            </w:pPr>
            <w:r w:rsidRPr="001C2458">
              <w:rPr>
                <w:lang w:val="en-US"/>
              </w:rPr>
              <w:t>Milford Asset Management - CIO</w:t>
            </w:r>
          </w:p>
        </w:tc>
        <w:tc>
          <w:tcPr>
            <w:tcW w:w="0" w:type="dxa"/>
            <w:vAlign w:val="top"/>
          </w:tcPr>
          <w:p w14:paraId="4CB20492" w14:textId="2F755ED1" w:rsidR="00397348" w:rsidRPr="001C2458" w:rsidRDefault="007236B4" w:rsidP="00397348">
            <w:pPr>
              <w:spacing w:line="240" w:lineRule="auto"/>
              <w:jc w:val="center"/>
              <w:rPr>
                <w:lang w:val="en-US"/>
              </w:rPr>
            </w:pPr>
            <w:r w:rsidRPr="001C2458">
              <w:rPr>
                <w:lang w:val="en-US"/>
              </w:rPr>
              <w:t xml:space="preserve">8 </w:t>
            </w:r>
            <w:r w:rsidR="001C2458" w:rsidRPr="001C2458">
              <w:rPr>
                <w:lang w:val="en-US"/>
              </w:rPr>
              <w:t>years</w:t>
            </w:r>
            <w:r w:rsidR="00743079">
              <w:rPr>
                <w:lang w:val="en-US"/>
              </w:rPr>
              <w:t>, 5 months</w:t>
            </w:r>
          </w:p>
        </w:tc>
      </w:tr>
      <w:tr w:rsidR="00397348" w:rsidRPr="000D1EB3" w14:paraId="3A666C01" w14:textId="77777777" w:rsidTr="00140C6F">
        <w:tc>
          <w:tcPr>
            <w:tcW w:w="0" w:type="dxa"/>
            <w:tcMar>
              <w:bottom w:w="57" w:type="dxa"/>
            </w:tcMar>
            <w:vAlign w:val="top"/>
          </w:tcPr>
          <w:p w14:paraId="60F0CB04" w14:textId="77777777" w:rsidR="00397348" w:rsidRPr="000D1EB3" w:rsidRDefault="00397348" w:rsidP="00397348">
            <w:pPr>
              <w:spacing w:line="240" w:lineRule="auto"/>
              <w:rPr>
                <w:lang w:val="en-US"/>
              </w:rPr>
            </w:pPr>
            <w:r w:rsidRPr="000D1EB3">
              <w:rPr>
                <w:lang w:val="en-US"/>
              </w:rPr>
              <w:t>Kent Fraser</w:t>
            </w:r>
          </w:p>
        </w:tc>
        <w:tc>
          <w:tcPr>
            <w:tcW w:w="0" w:type="dxa"/>
            <w:tcMar>
              <w:bottom w:w="57" w:type="dxa"/>
            </w:tcMar>
            <w:vAlign w:val="top"/>
          </w:tcPr>
          <w:p w14:paraId="10A95091" w14:textId="77777777" w:rsidR="00397348" w:rsidRPr="000D1EB3" w:rsidRDefault="00397348" w:rsidP="00397348">
            <w:pPr>
              <w:spacing w:line="240" w:lineRule="auto"/>
              <w:jc w:val="center"/>
              <w:rPr>
                <w:lang w:val="en-US"/>
              </w:rPr>
            </w:pPr>
            <w:r w:rsidRPr="000D1EB3">
              <w:t>Chair of Investment Committee</w:t>
            </w:r>
          </w:p>
        </w:tc>
        <w:tc>
          <w:tcPr>
            <w:tcW w:w="0" w:type="dxa"/>
            <w:vAlign w:val="top"/>
          </w:tcPr>
          <w:p w14:paraId="39C87717" w14:textId="3F21809E" w:rsidR="00397348" w:rsidRDefault="007B47DC" w:rsidP="00397348">
            <w:pPr>
              <w:spacing w:line="240" w:lineRule="auto"/>
              <w:jc w:val="center"/>
            </w:pPr>
            <w:r>
              <w:t>9</w:t>
            </w:r>
            <w:r w:rsidR="00397348" w:rsidRPr="00806315">
              <w:t xml:space="preserve"> years</w:t>
            </w:r>
            <w:r w:rsidR="00996A92">
              <w:t>,</w:t>
            </w:r>
          </w:p>
          <w:p w14:paraId="4A8484AC" w14:textId="462BFC39" w:rsidR="00996A92" w:rsidRPr="00806315" w:rsidRDefault="00645565" w:rsidP="00397348">
            <w:pPr>
              <w:spacing w:line="240" w:lineRule="auto"/>
              <w:jc w:val="center"/>
              <w:rPr>
                <w:lang w:val="en-US"/>
              </w:rPr>
            </w:pPr>
            <w:r>
              <w:t>3</w:t>
            </w:r>
            <w:r w:rsidR="002926BA">
              <w:t xml:space="preserve"> </w:t>
            </w:r>
            <w:r w:rsidR="00996A92">
              <w:t>months</w:t>
            </w:r>
          </w:p>
        </w:tc>
        <w:tc>
          <w:tcPr>
            <w:tcW w:w="0" w:type="dxa"/>
            <w:vAlign w:val="top"/>
          </w:tcPr>
          <w:p w14:paraId="58E28496" w14:textId="77777777" w:rsidR="00397348" w:rsidRPr="000D1EB3" w:rsidRDefault="00397348" w:rsidP="00397348">
            <w:pPr>
              <w:spacing w:line="240" w:lineRule="auto"/>
              <w:jc w:val="center"/>
              <w:rPr>
                <w:lang w:val="en-US"/>
              </w:rPr>
            </w:pPr>
          </w:p>
        </w:tc>
        <w:tc>
          <w:tcPr>
            <w:tcW w:w="0" w:type="dxa"/>
            <w:vAlign w:val="top"/>
          </w:tcPr>
          <w:p w14:paraId="050560FD" w14:textId="77777777" w:rsidR="00397348" w:rsidRPr="000D1EB3" w:rsidRDefault="00397348" w:rsidP="00397348">
            <w:pPr>
              <w:spacing w:line="240" w:lineRule="auto"/>
              <w:jc w:val="center"/>
              <w:rPr>
                <w:lang w:val="en-US"/>
              </w:rPr>
            </w:pPr>
          </w:p>
        </w:tc>
      </w:tr>
    </w:tbl>
    <w:p w14:paraId="66EC1FF8" w14:textId="32900646" w:rsidR="009F17E1" w:rsidRPr="000D1EB3" w:rsidRDefault="00A10A38" w:rsidP="00A10A38">
      <w:pPr>
        <w:pStyle w:val="Heading1"/>
        <w:rPr>
          <w:rFonts w:ascii="PP Neue Montreal" w:hAnsi="PP Neue Montreal"/>
        </w:rPr>
      </w:pPr>
      <w:r w:rsidRPr="000D1EB3">
        <w:rPr>
          <w:rFonts w:ascii="PP Neue Montreal" w:hAnsi="PP Neue Montreal"/>
        </w:rPr>
        <w:t>Further information</w:t>
      </w:r>
    </w:p>
    <w:p w14:paraId="0B93577F" w14:textId="150FAB12" w:rsidR="00BD7F6A" w:rsidRPr="000D1EB3" w:rsidRDefault="00A10A38" w:rsidP="00A10A38">
      <w:pPr>
        <w:rPr>
          <w:color w:val="80A3C5"/>
          <w:u w:val="single"/>
        </w:rPr>
      </w:pPr>
      <w:r w:rsidRPr="000D1EB3">
        <w:t>You can also obtain this information, the</w:t>
      </w:r>
      <w:r w:rsidRPr="00D66252">
        <w:t xml:space="preserve"> </w:t>
      </w:r>
      <w:hyperlink r:id="rId23" w:history="1">
        <w:r w:rsidRPr="00D66252">
          <w:rPr>
            <w:rStyle w:val="Hyperlink"/>
            <w:rFonts w:ascii="PP Neue Montreal" w:hAnsi="PP Neue Montreal"/>
            <w:u w:val="none"/>
          </w:rPr>
          <w:t>PDS</w:t>
        </w:r>
      </w:hyperlink>
      <w:r w:rsidRPr="000D1EB3">
        <w:t xml:space="preserve"> for Pathfinder Investment Funds, and some additional information from the offer register at </w:t>
      </w:r>
      <w:hyperlink r:id="rId24" w:history="1">
        <w:r w:rsidR="0005318F">
          <w:rPr>
            <w:rStyle w:val="Hyperlink"/>
            <w:rFonts w:ascii="PP Neue Montreal" w:hAnsi="PP Neue Montreal"/>
          </w:rPr>
          <w:t>https://disclose-register.companiesoffice.govt.nz/</w:t>
        </w:r>
      </w:hyperlink>
      <w:r w:rsidR="00BD7F6A" w:rsidRPr="000D1EB3">
        <w:rPr>
          <w:rStyle w:val="Hyperlink"/>
          <w:rFonts w:ascii="PP Neue Montreal" w:hAnsi="PP Neue Montreal"/>
        </w:rPr>
        <w:t xml:space="preserve"> </w:t>
      </w:r>
    </w:p>
    <w:p w14:paraId="2E9053EB" w14:textId="77777777" w:rsidR="00A10A38" w:rsidRPr="000D1EB3" w:rsidRDefault="00A10A38" w:rsidP="00A10A38"/>
    <w:p w14:paraId="23569315" w14:textId="2EA5E290" w:rsidR="00FF7AA1" w:rsidRPr="007B47DC" w:rsidRDefault="00FF7AA1" w:rsidP="007B47DC">
      <w:pPr>
        <w:pStyle w:val="PathfinderHeading2"/>
        <w:rPr>
          <w:sz w:val="32"/>
          <w:szCs w:val="32"/>
        </w:rPr>
      </w:pPr>
      <w:r w:rsidRPr="000D1EB3">
        <w:rPr>
          <w:sz w:val="32"/>
          <w:szCs w:val="32"/>
        </w:rPr>
        <w:t>Notes:</w:t>
      </w:r>
      <w:r w:rsidR="009C2391" w:rsidRPr="000D1EB3">
        <w:t xml:space="preserve"> </w:t>
      </w:r>
    </w:p>
    <w:p w14:paraId="255F8B06" w14:textId="77777777" w:rsidR="009E0A5E" w:rsidRDefault="009E0A5E" w:rsidP="009E0A5E">
      <w:pPr>
        <w:pStyle w:val="ListParagraph"/>
        <w:ind w:left="360"/>
      </w:pPr>
    </w:p>
    <w:p w14:paraId="51414761" w14:textId="692A728D" w:rsidR="009E0A5E" w:rsidRPr="000D1EB3" w:rsidRDefault="009E0A5E" w:rsidP="009E0A5E">
      <w:pPr>
        <w:pStyle w:val="ListParagraph"/>
        <w:numPr>
          <w:ilvl w:val="0"/>
          <w:numId w:val="13"/>
        </w:numPr>
      </w:pPr>
      <w:r w:rsidRPr="000D1EB3">
        <w:t xml:space="preserve">The market index changed on 1 October 2021.  The previous index was a weighted composite benchmark index as described in the </w:t>
      </w:r>
      <w:hyperlink r:id="rId25" w:history="1">
        <w:r w:rsidRPr="009E0A5E">
          <w:rPr>
            <w:rStyle w:val="Hyperlink"/>
            <w:rFonts w:ascii="PP Neue Montreal" w:hAnsi="PP Neue Montreal"/>
            <w:u w:val="none"/>
          </w:rPr>
          <w:t>SIPO</w:t>
        </w:r>
      </w:hyperlink>
      <w:r w:rsidRPr="000D1EB3">
        <w:t xml:space="preserve"> (“3. Investment objective and benchmark”) dated 2</w:t>
      </w:r>
      <w:r w:rsidR="00A72CF2">
        <w:t>2 May</w:t>
      </w:r>
      <w:r w:rsidRPr="000D1EB3">
        <w:t xml:space="preserve"> 202</w:t>
      </w:r>
      <w:r w:rsidR="00A72CF2">
        <w:t>4</w:t>
      </w:r>
      <w:r w:rsidRPr="000D1EB3">
        <w:t xml:space="preserve">. The new index is independently administered and widely used to compare funds in New Zealand.  The manager also considers that the new market index is more appropriate for measuring changes in the market in relation to returns on the assets that the Fund invests in.  As a result of this change, the market index annual return is calculated using the previous market index for the period from 17 August 2020 to 30 September 2021 and the new market index from 1 October 2021.  </w:t>
      </w:r>
    </w:p>
    <w:p w14:paraId="2288C676" w14:textId="77777777" w:rsidR="009C2391" w:rsidRPr="000D1EB3" w:rsidRDefault="009C2391" w:rsidP="009C2391"/>
    <w:p w14:paraId="6EB5A169" w14:textId="2FA97932" w:rsidR="000E0336" w:rsidRPr="000D1EB3" w:rsidRDefault="009C2391" w:rsidP="00EA52C7">
      <w:pPr>
        <w:pStyle w:val="ListParagraph"/>
        <w:numPr>
          <w:ilvl w:val="0"/>
          <w:numId w:val="13"/>
        </w:numPr>
      </w:pPr>
      <w:r w:rsidRPr="0005475F">
        <w:rPr>
          <w:rFonts w:ascii="PP Neue Montreal Medium" w:hAnsi="PP Neue Montreal Medium" w:cs="PP Neue Montreal Medium"/>
        </w:rPr>
        <w:t>Actual Investment Mix - Other</w:t>
      </w:r>
      <w:r w:rsidRPr="000D1EB3">
        <w:rPr>
          <w:rFonts w:cs="PP Neue Montreal Medium"/>
        </w:rPr>
        <w:t>:</w:t>
      </w:r>
      <w:r w:rsidRPr="000D1EB3">
        <w:t xml:space="preserve"> Other assets are direct investments that are unlikely to be stock exchange listed. These can include investments known as ‘impact investments’, ‘venture capital’, ‘private equity’, and also ‘private credit’. This category also includes unlisted property, such as direct ownership in property or ownership of property companies that are not listed on a stock exchange. </w:t>
      </w:r>
      <w:r w:rsidR="00F10DFD">
        <w:t xml:space="preserve">Some of the </w:t>
      </w:r>
      <w:r w:rsidR="003059C4">
        <w:t xml:space="preserve">private loans are </w:t>
      </w:r>
      <w:r w:rsidR="00147180">
        <w:t xml:space="preserve">with entities related to Pathfinder. </w:t>
      </w:r>
      <w:r w:rsidR="00F36007">
        <w:t xml:space="preserve">Currently, the Fund’s exposure to these private loans </w:t>
      </w:r>
      <w:r w:rsidR="00147180">
        <w:t>is</w:t>
      </w:r>
      <w:r w:rsidR="00525325">
        <w:t xml:space="preserve"> </w:t>
      </w:r>
      <w:r w:rsidR="00DC0B61">
        <w:t>0.</w:t>
      </w:r>
      <w:r w:rsidR="004721F0">
        <w:t>1</w:t>
      </w:r>
      <w:r w:rsidR="009B35E9">
        <w:t>2</w:t>
      </w:r>
      <w:r w:rsidR="00C62E23">
        <w:t>%</w:t>
      </w:r>
      <w:r w:rsidR="00364FE0">
        <w:t xml:space="preserve"> of the net asset value.</w:t>
      </w:r>
    </w:p>
    <w:sectPr w:rsidR="000E0336" w:rsidRPr="000D1EB3" w:rsidSect="00AF158B">
      <w:pgSz w:w="11900" w:h="16840"/>
      <w:pgMar w:top="3402" w:right="1134" w:bottom="1134" w:left="2552"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7922" w14:textId="77777777" w:rsidR="00EE3DD5" w:rsidRDefault="00EE3DD5" w:rsidP="00D711B6">
      <w:r>
        <w:separator/>
      </w:r>
    </w:p>
  </w:endnote>
  <w:endnote w:type="continuationSeparator" w:id="0">
    <w:p w14:paraId="3DD51370" w14:textId="77777777" w:rsidR="00EE3DD5" w:rsidRDefault="00EE3DD5" w:rsidP="00D711B6">
      <w:r>
        <w:continuationSeparator/>
      </w:r>
    </w:p>
  </w:endnote>
  <w:endnote w:type="continuationNotice" w:id="1">
    <w:p w14:paraId="6401892D" w14:textId="77777777" w:rsidR="00EE3DD5" w:rsidRDefault="00EE3D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P Neue Montreal">
    <w:charset w:val="00"/>
    <w:family w:val="auto"/>
    <w:pitch w:val="variable"/>
    <w:sig w:usb0="00000007" w:usb1="00000000" w:usb2="00000000" w:usb3="00000000" w:csb0="00000001" w:csb1="00000000"/>
  </w:font>
  <w:font w:name="PP Neue Montreal Medium">
    <w:panose1 w:val="00000600000000000000"/>
    <w:charset w:val="00"/>
    <w:family w:val="modern"/>
    <w:notTrueType/>
    <w:pitch w:val="variable"/>
    <w:sig w:usb0="00000207" w:usb1="02000001" w:usb2="00000000" w:usb3="00000000" w:csb0="00000097" w:csb1="00000000"/>
  </w:font>
  <w:font w:name="DengXian Light">
    <w:altName w:val="等线 Light"/>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969400"/>
      <w:docPartObj>
        <w:docPartGallery w:val="Page Numbers (Bottom of Page)"/>
        <w:docPartUnique/>
      </w:docPartObj>
    </w:sdtPr>
    <w:sdtEndPr>
      <w:rPr>
        <w:noProof/>
      </w:rPr>
    </w:sdtEndPr>
    <w:sdtContent>
      <w:p w14:paraId="2716BDA8" w14:textId="50A1C859" w:rsidR="00177CE2" w:rsidRDefault="00177CE2">
        <w:pPr>
          <w:pStyle w:val="Footer"/>
        </w:pPr>
        <w:r>
          <w:fldChar w:fldCharType="begin"/>
        </w:r>
        <w:r>
          <w:instrText xml:space="preserve"> PAGE   \* MERGEFORMAT </w:instrText>
        </w:r>
        <w:r>
          <w:fldChar w:fldCharType="separate"/>
        </w:r>
        <w:r>
          <w:rPr>
            <w:noProof/>
          </w:rPr>
          <w:t>2</w:t>
        </w:r>
        <w:r>
          <w:rPr>
            <w:noProof/>
          </w:rPr>
          <w:fldChar w:fldCharType="end"/>
        </w:r>
      </w:p>
    </w:sdtContent>
  </w:sdt>
  <w:p w14:paraId="20682A75" w14:textId="77777777" w:rsidR="00177CE2" w:rsidRDefault="0017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3BFB" w14:textId="77777777" w:rsidR="00EE3DD5" w:rsidRDefault="00EE3DD5" w:rsidP="00D711B6">
      <w:r>
        <w:separator/>
      </w:r>
    </w:p>
  </w:footnote>
  <w:footnote w:type="continuationSeparator" w:id="0">
    <w:p w14:paraId="27DCFE5A" w14:textId="77777777" w:rsidR="00EE3DD5" w:rsidRDefault="00EE3DD5" w:rsidP="00D711B6">
      <w:r>
        <w:continuationSeparator/>
      </w:r>
    </w:p>
  </w:footnote>
  <w:footnote w:type="continuationNotice" w:id="1">
    <w:p w14:paraId="511B957A" w14:textId="77777777" w:rsidR="00EE3DD5" w:rsidRDefault="00EE3D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808640"/>
      <w:docPartObj>
        <w:docPartGallery w:val="Page Numbers (Margins)"/>
        <w:docPartUnique/>
      </w:docPartObj>
    </w:sdtPr>
    <w:sdtContent>
      <w:p w14:paraId="04D624D2" w14:textId="2A3DDEC7" w:rsidR="001530D0" w:rsidRDefault="00FA50F2">
        <w:r>
          <w:rPr>
            <w:noProof/>
          </w:rPr>
          <mc:AlternateContent>
            <mc:Choice Requires="wps">
              <w:drawing>
                <wp:anchor distT="0" distB="0" distL="114300" distR="114300" simplePos="0" relativeHeight="251658240" behindDoc="0" locked="0" layoutInCell="0" allowOverlap="1" wp14:anchorId="1A250336" wp14:editId="31B561A2">
                  <wp:simplePos x="0" y="0"/>
                  <wp:positionH relativeFrom="page">
                    <wp:posOffset>-111760</wp:posOffset>
                  </wp:positionH>
                  <wp:positionV relativeFrom="margin">
                    <wp:posOffset>2298700</wp:posOffset>
                  </wp:positionV>
                  <wp:extent cx="1458595" cy="329565"/>
                  <wp:effectExtent l="190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585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8E026" w14:textId="6AA27B98" w:rsidR="00FA50F2" w:rsidRPr="00CE5E7F" w:rsidRDefault="00FA50F2">
                              <w:pPr>
                                <w:pBdr>
                                  <w:top w:val="single" w:sz="4" w:space="1" w:color="D8D8D8" w:themeColor="background1" w:themeShade="D8"/>
                                </w:pBdr>
                                <w:jc w:val="right"/>
                                <w:rPr>
                                  <w:color w:val="auto"/>
                                </w:rPr>
                              </w:pP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1A250336" id="Rectangle 4" o:spid="_x0000_s1029" style="position:absolute;margin-left:-8.8pt;margin-top:181pt;width:114.85pt;height:25.9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" o:allowincell="f" stroked="f">
                  <v:textbox style="mso-fit-shape-to-text:t" inset="0,,0">
                    <w:txbxContent>
                      <w:p w14:paraId="18F8E026" w14:textId="6AA27B98" w:rsidR="00FA50F2" w:rsidRPr="00CE5E7F" w:rsidRDefault="00FA50F2">
                        <w:pPr>
                          <w:pBdr>
                            <w:top w:val="single" w:sz="4" w:space="1" w:color="D8D8D8" w:themeColor="background1" w:themeShade="D8"/>
                          </w:pBdr>
                          <w:jc w:val="right"/>
                          <w:rPr>
                            <w:color w:val="auto"/>
                          </w:rPr>
                        </w:pPr>
                      </w:p>
                    </w:txbxContent>
                  </v:textbox>
                  <w10:wrap anchorx="page"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84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6AB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00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DAC3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4CEE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E35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08E7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863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04B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1A3E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F52AD"/>
    <w:multiLevelType w:val="hybridMultilevel"/>
    <w:tmpl w:val="E654EBF2"/>
    <w:lvl w:ilvl="0" w:tplc="6652B03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821FA"/>
    <w:multiLevelType w:val="hybridMultilevel"/>
    <w:tmpl w:val="9522CAC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3191C26"/>
    <w:multiLevelType w:val="hybridMultilevel"/>
    <w:tmpl w:val="0D18C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B51AE9"/>
    <w:multiLevelType w:val="hybridMultilevel"/>
    <w:tmpl w:val="D4EC20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6537748">
    <w:abstractNumId w:val="0"/>
  </w:num>
  <w:num w:numId="2" w16cid:durableId="2065136312">
    <w:abstractNumId w:val="1"/>
  </w:num>
  <w:num w:numId="3" w16cid:durableId="707339786">
    <w:abstractNumId w:val="2"/>
  </w:num>
  <w:num w:numId="4" w16cid:durableId="1175072321">
    <w:abstractNumId w:val="3"/>
  </w:num>
  <w:num w:numId="5" w16cid:durableId="587931595">
    <w:abstractNumId w:val="8"/>
  </w:num>
  <w:num w:numId="6" w16cid:durableId="74405198">
    <w:abstractNumId w:val="4"/>
  </w:num>
  <w:num w:numId="7" w16cid:durableId="1019695501">
    <w:abstractNumId w:val="5"/>
  </w:num>
  <w:num w:numId="8" w16cid:durableId="79986405">
    <w:abstractNumId w:val="6"/>
  </w:num>
  <w:num w:numId="9" w16cid:durableId="551580116">
    <w:abstractNumId w:val="7"/>
  </w:num>
  <w:num w:numId="10" w16cid:durableId="901985435">
    <w:abstractNumId w:val="9"/>
  </w:num>
  <w:num w:numId="11" w16cid:durableId="357435302">
    <w:abstractNumId w:val="10"/>
  </w:num>
  <w:num w:numId="12" w16cid:durableId="1134757796">
    <w:abstractNumId w:val="12"/>
  </w:num>
  <w:num w:numId="13" w16cid:durableId="2081368486">
    <w:abstractNumId w:val="13"/>
  </w:num>
  <w:num w:numId="14" w16cid:durableId="2049328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2A"/>
    <w:rsid w:val="0000026D"/>
    <w:rsid w:val="000039B1"/>
    <w:rsid w:val="00004049"/>
    <w:rsid w:val="00005407"/>
    <w:rsid w:val="0000627D"/>
    <w:rsid w:val="000102DF"/>
    <w:rsid w:val="00012571"/>
    <w:rsid w:val="00014456"/>
    <w:rsid w:val="000167B6"/>
    <w:rsid w:val="00022EEA"/>
    <w:rsid w:val="000237CB"/>
    <w:rsid w:val="00026A65"/>
    <w:rsid w:val="0002784E"/>
    <w:rsid w:val="0003269C"/>
    <w:rsid w:val="000349BB"/>
    <w:rsid w:val="00036526"/>
    <w:rsid w:val="00040075"/>
    <w:rsid w:val="00040212"/>
    <w:rsid w:val="000443C8"/>
    <w:rsid w:val="00044863"/>
    <w:rsid w:val="00050EEA"/>
    <w:rsid w:val="0005220D"/>
    <w:rsid w:val="00052757"/>
    <w:rsid w:val="0005318F"/>
    <w:rsid w:val="0005369F"/>
    <w:rsid w:val="0005475F"/>
    <w:rsid w:val="00055988"/>
    <w:rsid w:val="00056A6C"/>
    <w:rsid w:val="000626AC"/>
    <w:rsid w:val="00062873"/>
    <w:rsid w:val="000657B5"/>
    <w:rsid w:val="000679E7"/>
    <w:rsid w:val="0007046A"/>
    <w:rsid w:val="00070C1A"/>
    <w:rsid w:val="000716F2"/>
    <w:rsid w:val="00071BFE"/>
    <w:rsid w:val="00071C81"/>
    <w:rsid w:val="00076382"/>
    <w:rsid w:val="00080690"/>
    <w:rsid w:val="00081B03"/>
    <w:rsid w:val="00083C67"/>
    <w:rsid w:val="00083D29"/>
    <w:rsid w:val="0009432F"/>
    <w:rsid w:val="00094BBD"/>
    <w:rsid w:val="000976AB"/>
    <w:rsid w:val="000A11F0"/>
    <w:rsid w:val="000A2BA8"/>
    <w:rsid w:val="000A7228"/>
    <w:rsid w:val="000B014F"/>
    <w:rsid w:val="000B4947"/>
    <w:rsid w:val="000B6AF1"/>
    <w:rsid w:val="000B6E58"/>
    <w:rsid w:val="000C04AA"/>
    <w:rsid w:val="000C1162"/>
    <w:rsid w:val="000C5101"/>
    <w:rsid w:val="000C7BBA"/>
    <w:rsid w:val="000D1EB3"/>
    <w:rsid w:val="000D2A6B"/>
    <w:rsid w:val="000D6909"/>
    <w:rsid w:val="000D6CE4"/>
    <w:rsid w:val="000E0336"/>
    <w:rsid w:val="000E221B"/>
    <w:rsid w:val="000E3687"/>
    <w:rsid w:val="000E7443"/>
    <w:rsid w:val="000F0693"/>
    <w:rsid w:val="000F0D2A"/>
    <w:rsid w:val="000F3C42"/>
    <w:rsid w:val="000F5A7A"/>
    <w:rsid w:val="00101CC8"/>
    <w:rsid w:val="00103E19"/>
    <w:rsid w:val="00104F45"/>
    <w:rsid w:val="00106B5C"/>
    <w:rsid w:val="00116801"/>
    <w:rsid w:val="00116A32"/>
    <w:rsid w:val="00117CD3"/>
    <w:rsid w:val="00120F01"/>
    <w:rsid w:val="00122B19"/>
    <w:rsid w:val="00123B7D"/>
    <w:rsid w:val="00126574"/>
    <w:rsid w:val="001272FA"/>
    <w:rsid w:val="00131E0D"/>
    <w:rsid w:val="00135EA5"/>
    <w:rsid w:val="00136205"/>
    <w:rsid w:val="00136B00"/>
    <w:rsid w:val="00140C6F"/>
    <w:rsid w:val="00142CA7"/>
    <w:rsid w:val="00142FEC"/>
    <w:rsid w:val="00146314"/>
    <w:rsid w:val="00146482"/>
    <w:rsid w:val="00147180"/>
    <w:rsid w:val="0015281D"/>
    <w:rsid w:val="001530A5"/>
    <w:rsid w:val="001530D0"/>
    <w:rsid w:val="001532EA"/>
    <w:rsid w:val="00155F63"/>
    <w:rsid w:val="001567C6"/>
    <w:rsid w:val="00156B15"/>
    <w:rsid w:val="00160197"/>
    <w:rsid w:val="00160AD7"/>
    <w:rsid w:val="0017099F"/>
    <w:rsid w:val="00174C3F"/>
    <w:rsid w:val="00174EF3"/>
    <w:rsid w:val="00175F7C"/>
    <w:rsid w:val="00177020"/>
    <w:rsid w:val="00177CE2"/>
    <w:rsid w:val="00186BBF"/>
    <w:rsid w:val="0018730D"/>
    <w:rsid w:val="00194E89"/>
    <w:rsid w:val="001A1672"/>
    <w:rsid w:val="001A1940"/>
    <w:rsid w:val="001A1DE8"/>
    <w:rsid w:val="001A2A05"/>
    <w:rsid w:val="001A6B42"/>
    <w:rsid w:val="001A6EA4"/>
    <w:rsid w:val="001A7B77"/>
    <w:rsid w:val="001B0271"/>
    <w:rsid w:val="001B1631"/>
    <w:rsid w:val="001B3704"/>
    <w:rsid w:val="001B763B"/>
    <w:rsid w:val="001B7A26"/>
    <w:rsid w:val="001C15B1"/>
    <w:rsid w:val="001C2458"/>
    <w:rsid w:val="001C7A81"/>
    <w:rsid w:val="001C7B58"/>
    <w:rsid w:val="001D00A6"/>
    <w:rsid w:val="001D0D4A"/>
    <w:rsid w:val="001D0E54"/>
    <w:rsid w:val="001D17D0"/>
    <w:rsid w:val="001D2553"/>
    <w:rsid w:val="001E03BD"/>
    <w:rsid w:val="001E465B"/>
    <w:rsid w:val="001E5DBC"/>
    <w:rsid w:val="001F257D"/>
    <w:rsid w:val="001F365A"/>
    <w:rsid w:val="001F4C30"/>
    <w:rsid w:val="001F518C"/>
    <w:rsid w:val="002012EF"/>
    <w:rsid w:val="00201647"/>
    <w:rsid w:val="00204980"/>
    <w:rsid w:val="00207F43"/>
    <w:rsid w:val="0021161D"/>
    <w:rsid w:val="00212CEA"/>
    <w:rsid w:val="00215B3A"/>
    <w:rsid w:val="00216CDE"/>
    <w:rsid w:val="00227C11"/>
    <w:rsid w:val="002311A8"/>
    <w:rsid w:val="00235351"/>
    <w:rsid w:val="00237985"/>
    <w:rsid w:val="00240803"/>
    <w:rsid w:val="00242DFE"/>
    <w:rsid w:val="00242FED"/>
    <w:rsid w:val="00243392"/>
    <w:rsid w:val="00244147"/>
    <w:rsid w:val="002507CF"/>
    <w:rsid w:val="00256959"/>
    <w:rsid w:val="002569C0"/>
    <w:rsid w:val="00267151"/>
    <w:rsid w:val="002706A2"/>
    <w:rsid w:val="00271B9C"/>
    <w:rsid w:val="002731F3"/>
    <w:rsid w:val="00274CD6"/>
    <w:rsid w:val="0027692F"/>
    <w:rsid w:val="00284532"/>
    <w:rsid w:val="00285798"/>
    <w:rsid w:val="002864BF"/>
    <w:rsid w:val="002926BA"/>
    <w:rsid w:val="00293EB1"/>
    <w:rsid w:val="00294370"/>
    <w:rsid w:val="002A26D5"/>
    <w:rsid w:val="002A4DE6"/>
    <w:rsid w:val="002A4EBC"/>
    <w:rsid w:val="002B0C9F"/>
    <w:rsid w:val="002B3B43"/>
    <w:rsid w:val="002C13A0"/>
    <w:rsid w:val="002C257A"/>
    <w:rsid w:val="002C2707"/>
    <w:rsid w:val="002C2ED0"/>
    <w:rsid w:val="002C7DB7"/>
    <w:rsid w:val="002D19B8"/>
    <w:rsid w:val="002D1F26"/>
    <w:rsid w:val="002D3655"/>
    <w:rsid w:val="002E017E"/>
    <w:rsid w:val="002E09BE"/>
    <w:rsid w:val="002E5662"/>
    <w:rsid w:val="002E7473"/>
    <w:rsid w:val="002F1175"/>
    <w:rsid w:val="002F38AA"/>
    <w:rsid w:val="002F3E87"/>
    <w:rsid w:val="002F4091"/>
    <w:rsid w:val="003059C4"/>
    <w:rsid w:val="00306479"/>
    <w:rsid w:val="00306D9A"/>
    <w:rsid w:val="003106EF"/>
    <w:rsid w:val="003145C3"/>
    <w:rsid w:val="003168D9"/>
    <w:rsid w:val="00320326"/>
    <w:rsid w:val="00320BFF"/>
    <w:rsid w:val="003214F1"/>
    <w:rsid w:val="0032478A"/>
    <w:rsid w:val="00325BBD"/>
    <w:rsid w:val="003307F0"/>
    <w:rsid w:val="0033099A"/>
    <w:rsid w:val="003309A9"/>
    <w:rsid w:val="00331FE5"/>
    <w:rsid w:val="003322AC"/>
    <w:rsid w:val="00332C98"/>
    <w:rsid w:val="003357F1"/>
    <w:rsid w:val="003371B2"/>
    <w:rsid w:val="0034038E"/>
    <w:rsid w:val="003435B0"/>
    <w:rsid w:val="00344248"/>
    <w:rsid w:val="003505B2"/>
    <w:rsid w:val="00351EF9"/>
    <w:rsid w:val="0035540E"/>
    <w:rsid w:val="00355938"/>
    <w:rsid w:val="0036021F"/>
    <w:rsid w:val="003602A7"/>
    <w:rsid w:val="00364FE0"/>
    <w:rsid w:val="00365FF7"/>
    <w:rsid w:val="003667DF"/>
    <w:rsid w:val="0037066E"/>
    <w:rsid w:val="00373ACE"/>
    <w:rsid w:val="003828D4"/>
    <w:rsid w:val="00383459"/>
    <w:rsid w:val="00385AC9"/>
    <w:rsid w:val="0039127A"/>
    <w:rsid w:val="00393870"/>
    <w:rsid w:val="00393F01"/>
    <w:rsid w:val="00394E60"/>
    <w:rsid w:val="00395E23"/>
    <w:rsid w:val="0039693D"/>
    <w:rsid w:val="00397348"/>
    <w:rsid w:val="00397497"/>
    <w:rsid w:val="003A179A"/>
    <w:rsid w:val="003A1C0F"/>
    <w:rsid w:val="003A2156"/>
    <w:rsid w:val="003A3324"/>
    <w:rsid w:val="003A4023"/>
    <w:rsid w:val="003A4E50"/>
    <w:rsid w:val="003A57EC"/>
    <w:rsid w:val="003B116B"/>
    <w:rsid w:val="003B4504"/>
    <w:rsid w:val="003B5F07"/>
    <w:rsid w:val="003B7ED6"/>
    <w:rsid w:val="003C44EA"/>
    <w:rsid w:val="003C6D6B"/>
    <w:rsid w:val="003D45EE"/>
    <w:rsid w:val="003D5BF1"/>
    <w:rsid w:val="003D5FC1"/>
    <w:rsid w:val="003E4D9A"/>
    <w:rsid w:val="003E6E87"/>
    <w:rsid w:val="003F1B53"/>
    <w:rsid w:val="003F31F5"/>
    <w:rsid w:val="003F3931"/>
    <w:rsid w:val="003F5B42"/>
    <w:rsid w:val="004014DD"/>
    <w:rsid w:val="004107A3"/>
    <w:rsid w:val="00415D41"/>
    <w:rsid w:val="00416AFA"/>
    <w:rsid w:val="00420799"/>
    <w:rsid w:val="0042466C"/>
    <w:rsid w:val="00424FEB"/>
    <w:rsid w:val="00426662"/>
    <w:rsid w:val="00426817"/>
    <w:rsid w:val="004277D1"/>
    <w:rsid w:val="00433393"/>
    <w:rsid w:val="00433473"/>
    <w:rsid w:val="00433E20"/>
    <w:rsid w:val="00435373"/>
    <w:rsid w:val="00437207"/>
    <w:rsid w:val="00437235"/>
    <w:rsid w:val="00443D13"/>
    <w:rsid w:val="004453E8"/>
    <w:rsid w:val="00447C09"/>
    <w:rsid w:val="00461080"/>
    <w:rsid w:val="00462289"/>
    <w:rsid w:val="00463089"/>
    <w:rsid w:val="0046535A"/>
    <w:rsid w:val="004672C9"/>
    <w:rsid w:val="00471FE9"/>
    <w:rsid w:val="004721F0"/>
    <w:rsid w:val="00472325"/>
    <w:rsid w:val="004725CB"/>
    <w:rsid w:val="004733C5"/>
    <w:rsid w:val="00474892"/>
    <w:rsid w:val="00475EBF"/>
    <w:rsid w:val="0048206B"/>
    <w:rsid w:val="00485730"/>
    <w:rsid w:val="00487DA8"/>
    <w:rsid w:val="0049056A"/>
    <w:rsid w:val="0049056B"/>
    <w:rsid w:val="00492536"/>
    <w:rsid w:val="00497715"/>
    <w:rsid w:val="00497C91"/>
    <w:rsid w:val="004A0AD1"/>
    <w:rsid w:val="004A63E6"/>
    <w:rsid w:val="004B186C"/>
    <w:rsid w:val="004B1BE4"/>
    <w:rsid w:val="004B6788"/>
    <w:rsid w:val="004B7473"/>
    <w:rsid w:val="004B7804"/>
    <w:rsid w:val="004C0DB5"/>
    <w:rsid w:val="004C1A14"/>
    <w:rsid w:val="004C3C6F"/>
    <w:rsid w:val="004C4A34"/>
    <w:rsid w:val="004C637A"/>
    <w:rsid w:val="004C7835"/>
    <w:rsid w:val="004D186D"/>
    <w:rsid w:val="004D2864"/>
    <w:rsid w:val="004D2FA1"/>
    <w:rsid w:val="004E074F"/>
    <w:rsid w:val="004E1628"/>
    <w:rsid w:val="004E71D5"/>
    <w:rsid w:val="004F72E9"/>
    <w:rsid w:val="005011B7"/>
    <w:rsid w:val="00507149"/>
    <w:rsid w:val="00507BBE"/>
    <w:rsid w:val="00507C93"/>
    <w:rsid w:val="00517042"/>
    <w:rsid w:val="00520A79"/>
    <w:rsid w:val="00522C49"/>
    <w:rsid w:val="00523A53"/>
    <w:rsid w:val="00525325"/>
    <w:rsid w:val="00527228"/>
    <w:rsid w:val="00534A89"/>
    <w:rsid w:val="005354FE"/>
    <w:rsid w:val="0054207E"/>
    <w:rsid w:val="00551398"/>
    <w:rsid w:val="00553F4B"/>
    <w:rsid w:val="005546E1"/>
    <w:rsid w:val="00555953"/>
    <w:rsid w:val="00557468"/>
    <w:rsid w:val="00562AE7"/>
    <w:rsid w:val="0057028C"/>
    <w:rsid w:val="00573FF3"/>
    <w:rsid w:val="00575367"/>
    <w:rsid w:val="00575ED7"/>
    <w:rsid w:val="00581154"/>
    <w:rsid w:val="0058527E"/>
    <w:rsid w:val="00585E1C"/>
    <w:rsid w:val="005913F0"/>
    <w:rsid w:val="005933A1"/>
    <w:rsid w:val="005A0375"/>
    <w:rsid w:val="005A2713"/>
    <w:rsid w:val="005A311A"/>
    <w:rsid w:val="005B0523"/>
    <w:rsid w:val="005C36F7"/>
    <w:rsid w:val="005C3A5A"/>
    <w:rsid w:val="005C44D3"/>
    <w:rsid w:val="005C48F3"/>
    <w:rsid w:val="005C6560"/>
    <w:rsid w:val="005D08F5"/>
    <w:rsid w:val="005D1A99"/>
    <w:rsid w:val="005D1FCF"/>
    <w:rsid w:val="005D52D2"/>
    <w:rsid w:val="005D70FD"/>
    <w:rsid w:val="005D75D1"/>
    <w:rsid w:val="005D77D0"/>
    <w:rsid w:val="005E0886"/>
    <w:rsid w:val="005E0E16"/>
    <w:rsid w:val="005E1567"/>
    <w:rsid w:val="005E2891"/>
    <w:rsid w:val="005F4D56"/>
    <w:rsid w:val="005F64E7"/>
    <w:rsid w:val="00601DC4"/>
    <w:rsid w:val="00604AFD"/>
    <w:rsid w:val="00604BB9"/>
    <w:rsid w:val="006071C7"/>
    <w:rsid w:val="00607511"/>
    <w:rsid w:val="006109A5"/>
    <w:rsid w:val="00610FE2"/>
    <w:rsid w:val="0061419A"/>
    <w:rsid w:val="00616994"/>
    <w:rsid w:val="00621C2B"/>
    <w:rsid w:val="00621FB0"/>
    <w:rsid w:val="006263D5"/>
    <w:rsid w:val="0062680F"/>
    <w:rsid w:val="00626953"/>
    <w:rsid w:val="00627613"/>
    <w:rsid w:val="006276F4"/>
    <w:rsid w:val="00627880"/>
    <w:rsid w:val="00632546"/>
    <w:rsid w:val="006330C2"/>
    <w:rsid w:val="006421E3"/>
    <w:rsid w:val="00645565"/>
    <w:rsid w:val="00646C11"/>
    <w:rsid w:val="006472B9"/>
    <w:rsid w:val="006542E5"/>
    <w:rsid w:val="00654789"/>
    <w:rsid w:val="00654CBA"/>
    <w:rsid w:val="006550A8"/>
    <w:rsid w:val="006601BD"/>
    <w:rsid w:val="006620F7"/>
    <w:rsid w:val="006629FC"/>
    <w:rsid w:val="00662A72"/>
    <w:rsid w:val="00662E92"/>
    <w:rsid w:val="00663639"/>
    <w:rsid w:val="00663874"/>
    <w:rsid w:val="00664A92"/>
    <w:rsid w:val="006657B1"/>
    <w:rsid w:val="0066624C"/>
    <w:rsid w:val="00672DB2"/>
    <w:rsid w:val="00676A13"/>
    <w:rsid w:val="00676F01"/>
    <w:rsid w:val="00681752"/>
    <w:rsid w:val="00684B7F"/>
    <w:rsid w:val="00685021"/>
    <w:rsid w:val="00692E62"/>
    <w:rsid w:val="00696A9F"/>
    <w:rsid w:val="00697857"/>
    <w:rsid w:val="006A06AF"/>
    <w:rsid w:val="006A6EC0"/>
    <w:rsid w:val="006A6ED2"/>
    <w:rsid w:val="006B1419"/>
    <w:rsid w:val="006B2E9D"/>
    <w:rsid w:val="006B366C"/>
    <w:rsid w:val="006B3FCA"/>
    <w:rsid w:val="006B6054"/>
    <w:rsid w:val="006C14A8"/>
    <w:rsid w:val="006C3996"/>
    <w:rsid w:val="006C61B5"/>
    <w:rsid w:val="006C7F00"/>
    <w:rsid w:val="006D1D81"/>
    <w:rsid w:val="006D77C1"/>
    <w:rsid w:val="006E3923"/>
    <w:rsid w:val="006E56A5"/>
    <w:rsid w:val="006E6B4B"/>
    <w:rsid w:val="006F1F57"/>
    <w:rsid w:val="006F3ACF"/>
    <w:rsid w:val="006F5508"/>
    <w:rsid w:val="00702575"/>
    <w:rsid w:val="007041BA"/>
    <w:rsid w:val="00712C56"/>
    <w:rsid w:val="007164DD"/>
    <w:rsid w:val="00716B96"/>
    <w:rsid w:val="0072250B"/>
    <w:rsid w:val="007231E1"/>
    <w:rsid w:val="007236B4"/>
    <w:rsid w:val="007241F8"/>
    <w:rsid w:val="00724AB2"/>
    <w:rsid w:val="00726A05"/>
    <w:rsid w:val="00727832"/>
    <w:rsid w:val="00731A7A"/>
    <w:rsid w:val="007343EB"/>
    <w:rsid w:val="007343FC"/>
    <w:rsid w:val="00736143"/>
    <w:rsid w:val="00743079"/>
    <w:rsid w:val="00745033"/>
    <w:rsid w:val="007458CA"/>
    <w:rsid w:val="0074610B"/>
    <w:rsid w:val="0074719D"/>
    <w:rsid w:val="00747EE0"/>
    <w:rsid w:val="00755515"/>
    <w:rsid w:val="00757B56"/>
    <w:rsid w:val="00763487"/>
    <w:rsid w:val="0076462A"/>
    <w:rsid w:val="00765507"/>
    <w:rsid w:val="00766EA5"/>
    <w:rsid w:val="007679ED"/>
    <w:rsid w:val="007745EE"/>
    <w:rsid w:val="00776210"/>
    <w:rsid w:val="00777B3F"/>
    <w:rsid w:val="00780BB3"/>
    <w:rsid w:val="00781297"/>
    <w:rsid w:val="00785A97"/>
    <w:rsid w:val="007926E1"/>
    <w:rsid w:val="007945C6"/>
    <w:rsid w:val="007A002C"/>
    <w:rsid w:val="007A6B02"/>
    <w:rsid w:val="007A7B35"/>
    <w:rsid w:val="007B3918"/>
    <w:rsid w:val="007B47DC"/>
    <w:rsid w:val="007B5A47"/>
    <w:rsid w:val="007B64A6"/>
    <w:rsid w:val="007C1C8A"/>
    <w:rsid w:val="007C2D6E"/>
    <w:rsid w:val="007C6718"/>
    <w:rsid w:val="007D2458"/>
    <w:rsid w:val="007D4187"/>
    <w:rsid w:val="007D7D15"/>
    <w:rsid w:val="007E0416"/>
    <w:rsid w:val="007E0E8A"/>
    <w:rsid w:val="007E114C"/>
    <w:rsid w:val="007F5DE7"/>
    <w:rsid w:val="00801762"/>
    <w:rsid w:val="008024DB"/>
    <w:rsid w:val="00803601"/>
    <w:rsid w:val="00805522"/>
    <w:rsid w:val="008057F3"/>
    <w:rsid w:val="00806315"/>
    <w:rsid w:val="00806CFE"/>
    <w:rsid w:val="008070E7"/>
    <w:rsid w:val="00815482"/>
    <w:rsid w:val="00815951"/>
    <w:rsid w:val="00817BD0"/>
    <w:rsid w:val="00821E8D"/>
    <w:rsid w:val="00822F5D"/>
    <w:rsid w:val="00823591"/>
    <w:rsid w:val="00823E28"/>
    <w:rsid w:val="00826C3B"/>
    <w:rsid w:val="008271C1"/>
    <w:rsid w:val="00831039"/>
    <w:rsid w:val="00832112"/>
    <w:rsid w:val="00832578"/>
    <w:rsid w:val="00832C02"/>
    <w:rsid w:val="00835F61"/>
    <w:rsid w:val="00841437"/>
    <w:rsid w:val="00842D15"/>
    <w:rsid w:val="0084494E"/>
    <w:rsid w:val="00844D5B"/>
    <w:rsid w:val="008518FF"/>
    <w:rsid w:val="00854D45"/>
    <w:rsid w:val="008629D6"/>
    <w:rsid w:val="00870E14"/>
    <w:rsid w:val="008773DC"/>
    <w:rsid w:val="00883512"/>
    <w:rsid w:val="008840D7"/>
    <w:rsid w:val="00894C14"/>
    <w:rsid w:val="00894CC3"/>
    <w:rsid w:val="008A0D8C"/>
    <w:rsid w:val="008A2691"/>
    <w:rsid w:val="008A3A5A"/>
    <w:rsid w:val="008A62EA"/>
    <w:rsid w:val="008A6D99"/>
    <w:rsid w:val="008A7375"/>
    <w:rsid w:val="008B120B"/>
    <w:rsid w:val="008B1CAB"/>
    <w:rsid w:val="008B236D"/>
    <w:rsid w:val="008B39DF"/>
    <w:rsid w:val="008B3EA7"/>
    <w:rsid w:val="008B5C04"/>
    <w:rsid w:val="008B7893"/>
    <w:rsid w:val="008C0191"/>
    <w:rsid w:val="008C04CA"/>
    <w:rsid w:val="008C0BF1"/>
    <w:rsid w:val="008C0BFD"/>
    <w:rsid w:val="008C1BD4"/>
    <w:rsid w:val="008C4AC1"/>
    <w:rsid w:val="008C4CC3"/>
    <w:rsid w:val="008D4181"/>
    <w:rsid w:val="008D5EA2"/>
    <w:rsid w:val="008E161E"/>
    <w:rsid w:val="008E3D0E"/>
    <w:rsid w:val="008E47CC"/>
    <w:rsid w:val="008F0EFB"/>
    <w:rsid w:val="008F0F51"/>
    <w:rsid w:val="008F5E04"/>
    <w:rsid w:val="008F735D"/>
    <w:rsid w:val="009012D1"/>
    <w:rsid w:val="009024E8"/>
    <w:rsid w:val="009032B9"/>
    <w:rsid w:val="00903395"/>
    <w:rsid w:val="00903A11"/>
    <w:rsid w:val="00903C74"/>
    <w:rsid w:val="00905792"/>
    <w:rsid w:val="00905CE1"/>
    <w:rsid w:val="009076F8"/>
    <w:rsid w:val="00910D8C"/>
    <w:rsid w:val="00912355"/>
    <w:rsid w:val="00914856"/>
    <w:rsid w:val="0091555C"/>
    <w:rsid w:val="00924293"/>
    <w:rsid w:val="009304FD"/>
    <w:rsid w:val="0093054C"/>
    <w:rsid w:val="00934BDD"/>
    <w:rsid w:val="0094328C"/>
    <w:rsid w:val="00947036"/>
    <w:rsid w:val="009544C4"/>
    <w:rsid w:val="00956B88"/>
    <w:rsid w:val="009610CC"/>
    <w:rsid w:val="00963ED5"/>
    <w:rsid w:val="00971500"/>
    <w:rsid w:val="0097308F"/>
    <w:rsid w:val="0097334E"/>
    <w:rsid w:val="00976FC4"/>
    <w:rsid w:val="00981BE2"/>
    <w:rsid w:val="009826FB"/>
    <w:rsid w:val="009875FA"/>
    <w:rsid w:val="009906CE"/>
    <w:rsid w:val="009952BF"/>
    <w:rsid w:val="00996A92"/>
    <w:rsid w:val="009A1228"/>
    <w:rsid w:val="009A1F79"/>
    <w:rsid w:val="009A207E"/>
    <w:rsid w:val="009A2694"/>
    <w:rsid w:val="009A557F"/>
    <w:rsid w:val="009B10BA"/>
    <w:rsid w:val="009B1D49"/>
    <w:rsid w:val="009B214C"/>
    <w:rsid w:val="009B35E9"/>
    <w:rsid w:val="009B3FC5"/>
    <w:rsid w:val="009B5249"/>
    <w:rsid w:val="009B79FB"/>
    <w:rsid w:val="009C2391"/>
    <w:rsid w:val="009C3B64"/>
    <w:rsid w:val="009C42D6"/>
    <w:rsid w:val="009C577E"/>
    <w:rsid w:val="009D19CF"/>
    <w:rsid w:val="009D25F7"/>
    <w:rsid w:val="009D26D7"/>
    <w:rsid w:val="009D7C37"/>
    <w:rsid w:val="009E0A5E"/>
    <w:rsid w:val="009E1DD4"/>
    <w:rsid w:val="009E21B6"/>
    <w:rsid w:val="009E252D"/>
    <w:rsid w:val="009E509E"/>
    <w:rsid w:val="009E667F"/>
    <w:rsid w:val="009F17E1"/>
    <w:rsid w:val="009F371F"/>
    <w:rsid w:val="009F572B"/>
    <w:rsid w:val="00A00386"/>
    <w:rsid w:val="00A0524B"/>
    <w:rsid w:val="00A05CA4"/>
    <w:rsid w:val="00A062D7"/>
    <w:rsid w:val="00A06D9A"/>
    <w:rsid w:val="00A07066"/>
    <w:rsid w:val="00A104EE"/>
    <w:rsid w:val="00A10A38"/>
    <w:rsid w:val="00A14012"/>
    <w:rsid w:val="00A141EA"/>
    <w:rsid w:val="00A17910"/>
    <w:rsid w:val="00A217CB"/>
    <w:rsid w:val="00A21ECB"/>
    <w:rsid w:val="00A313AD"/>
    <w:rsid w:val="00A356DC"/>
    <w:rsid w:val="00A424A9"/>
    <w:rsid w:val="00A5261E"/>
    <w:rsid w:val="00A606C8"/>
    <w:rsid w:val="00A61DF9"/>
    <w:rsid w:val="00A650D0"/>
    <w:rsid w:val="00A66125"/>
    <w:rsid w:val="00A6767E"/>
    <w:rsid w:val="00A67D1E"/>
    <w:rsid w:val="00A72CF2"/>
    <w:rsid w:val="00A73806"/>
    <w:rsid w:val="00A7463A"/>
    <w:rsid w:val="00A76F4C"/>
    <w:rsid w:val="00A77343"/>
    <w:rsid w:val="00A7747A"/>
    <w:rsid w:val="00A81C40"/>
    <w:rsid w:val="00A8446C"/>
    <w:rsid w:val="00A90ABC"/>
    <w:rsid w:val="00A94155"/>
    <w:rsid w:val="00A978E4"/>
    <w:rsid w:val="00AA117B"/>
    <w:rsid w:val="00AB5AA5"/>
    <w:rsid w:val="00AB6AE9"/>
    <w:rsid w:val="00AC32E7"/>
    <w:rsid w:val="00AD54EE"/>
    <w:rsid w:val="00AD74DD"/>
    <w:rsid w:val="00AE026B"/>
    <w:rsid w:val="00AE0ECA"/>
    <w:rsid w:val="00AE247A"/>
    <w:rsid w:val="00AE2F45"/>
    <w:rsid w:val="00AE31D9"/>
    <w:rsid w:val="00AE5D4C"/>
    <w:rsid w:val="00AE64CF"/>
    <w:rsid w:val="00AE7EED"/>
    <w:rsid w:val="00AF158B"/>
    <w:rsid w:val="00AF7FA0"/>
    <w:rsid w:val="00B06780"/>
    <w:rsid w:val="00B06C93"/>
    <w:rsid w:val="00B07FFD"/>
    <w:rsid w:val="00B1073A"/>
    <w:rsid w:val="00B10AA1"/>
    <w:rsid w:val="00B16C6F"/>
    <w:rsid w:val="00B16FD2"/>
    <w:rsid w:val="00B22481"/>
    <w:rsid w:val="00B226CA"/>
    <w:rsid w:val="00B31E60"/>
    <w:rsid w:val="00B32183"/>
    <w:rsid w:val="00B327FF"/>
    <w:rsid w:val="00B33740"/>
    <w:rsid w:val="00B33819"/>
    <w:rsid w:val="00B3481B"/>
    <w:rsid w:val="00B35DE1"/>
    <w:rsid w:val="00B42B03"/>
    <w:rsid w:val="00B43C8E"/>
    <w:rsid w:val="00B43F08"/>
    <w:rsid w:val="00B44A64"/>
    <w:rsid w:val="00B46A01"/>
    <w:rsid w:val="00B509E2"/>
    <w:rsid w:val="00B54092"/>
    <w:rsid w:val="00B56019"/>
    <w:rsid w:val="00B56462"/>
    <w:rsid w:val="00B61D26"/>
    <w:rsid w:val="00B6240E"/>
    <w:rsid w:val="00B63D4B"/>
    <w:rsid w:val="00B70785"/>
    <w:rsid w:val="00B7212E"/>
    <w:rsid w:val="00B759AA"/>
    <w:rsid w:val="00B77FAB"/>
    <w:rsid w:val="00B77FCC"/>
    <w:rsid w:val="00B807B0"/>
    <w:rsid w:val="00B82813"/>
    <w:rsid w:val="00B8300D"/>
    <w:rsid w:val="00B84C00"/>
    <w:rsid w:val="00B9355C"/>
    <w:rsid w:val="00B968C2"/>
    <w:rsid w:val="00B969B8"/>
    <w:rsid w:val="00BA2786"/>
    <w:rsid w:val="00BA27C1"/>
    <w:rsid w:val="00BA2AB7"/>
    <w:rsid w:val="00BB1A58"/>
    <w:rsid w:val="00BB2B9F"/>
    <w:rsid w:val="00BB3B0C"/>
    <w:rsid w:val="00BB741F"/>
    <w:rsid w:val="00BB7B45"/>
    <w:rsid w:val="00BB7BC1"/>
    <w:rsid w:val="00BD3E06"/>
    <w:rsid w:val="00BD7F6A"/>
    <w:rsid w:val="00BE12C8"/>
    <w:rsid w:val="00BF0392"/>
    <w:rsid w:val="00BF1FFF"/>
    <w:rsid w:val="00BF208A"/>
    <w:rsid w:val="00BF7EB0"/>
    <w:rsid w:val="00C0730C"/>
    <w:rsid w:val="00C12421"/>
    <w:rsid w:val="00C14A72"/>
    <w:rsid w:val="00C15FC9"/>
    <w:rsid w:val="00C23889"/>
    <w:rsid w:val="00C36330"/>
    <w:rsid w:val="00C43A28"/>
    <w:rsid w:val="00C45078"/>
    <w:rsid w:val="00C46CAE"/>
    <w:rsid w:val="00C46DC5"/>
    <w:rsid w:val="00C51215"/>
    <w:rsid w:val="00C54A8F"/>
    <w:rsid w:val="00C56025"/>
    <w:rsid w:val="00C606F8"/>
    <w:rsid w:val="00C62E23"/>
    <w:rsid w:val="00C63826"/>
    <w:rsid w:val="00C736C2"/>
    <w:rsid w:val="00C73D38"/>
    <w:rsid w:val="00C75AB6"/>
    <w:rsid w:val="00C76DD7"/>
    <w:rsid w:val="00C803B2"/>
    <w:rsid w:val="00C81D5D"/>
    <w:rsid w:val="00C84CB2"/>
    <w:rsid w:val="00C86DA4"/>
    <w:rsid w:val="00C86EE1"/>
    <w:rsid w:val="00C87052"/>
    <w:rsid w:val="00C91A23"/>
    <w:rsid w:val="00C929BC"/>
    <w:rsid w:val="00C9488C"/>
    <w:rsid w:val="00C95302"/>
    <w:rsid w:val="00C9649A"/>
    <w:rsid w:val="00C96FCE"/>
    <w:rsid w:val="00C9758E"/>
    <w:rsid w:val="00CA4841"/>
    <w:rsid w:val="00CA7029"/>
    <w:rsid w:val="00CB0D55"/>
    <w:rsid w:val="00CB197E"/>
    <w:rsid w:val="00CB2911"/>
    <w:rsid w:val="00CB30A1"/>
    <w:rsid w:val="00CB67D3"/>
    <w:rsid w:val="00CC1919"/>
    <w:rsid w:val="00CC5857"/>
    <w:rsid w:val="00CE5E56"/>
    <w:rsid w:val="00CE5E7F"/>
    <w:rsid w:val="00CE6E89"/>
    <w:rsid w:val="00CF02E5"/>
    <w:rsid w:val="00CF5285"/>
    <w:rsid w:val="00D03200"/>
    <w:rsid w:val="00D03CD3"/>
    <w:rsid w:val="00D045E8"/>
    <w:rsid w:val="00D053CA"/>
    <w:rsid w:val="00D056AC"/>
    <w:rsid w:val="00D07090"/>
    <w:rsid w:val="00D076F6"/>
    <w:rsid w:val="00D126A4"/>
    <w:rsid w:val="00D15D57"/>
    <w:rsid w:val="00D175F1"/>
    <w:rsid w:val="00D22BCE"/>
    <w:rsid w:val="00D241DA"/>
    <w:rsid w:val="00D2545F"/>
    <w:rsid w:val="00D25974"/>
    <w:rsid w:val="00D30BE7"/>
    <w:rsid w:val="00D31B3C"/>
    <w:rsid w:val="00D35929"/>
    <w:rsid w:val="00D36358"/>
    <w:rsid w:val="00D42BA3"/>
    <w:rsid w:val="00D44CA4"/>
    <w:rsid w:val="00D456B0"/>
    <w:rsid w:val="00D46CA7"/>
    <w:rsid w:val="00D46E47"/>
    <w:rsid w:val="00D46EEB"/>
    <w:rsid w:val="00D532D5"/>
    <w:rsid w:val="00D53681"/>
    <w:rsid w:val="00D54E7B"/>
    <w:rsid w:val="00D61CA3"/>
    <w:rsid w:val="00D624F1"/>
    <w:rsid w:val="00D63DFC"/>
    <w:rsid w:val="00D66252"/>
    <w:rsid w:val="00D67006"/>
    <w:rsid w:val="00D70073"/>
    <w:rsid w:val="00D70333"/>
    <w:rsid w:val="00D710B9"/>
    <w:rsid w:val="00D711B6"/>
    <w:rsid w:val="00D728CF"/>
    <w:rsid w:val="00D7657F"/>
    <w:rsid w:val="00D83476"/>
    <w:rsid w:val="00D84523"/>
    <w:rsid w:val="00D921AD"/>
    <w:rsid w:val="00D964EE"/>
    <w:rsid w:val="00DA0FD9"/>
    <w:rsid w:val="00DA536E"/>
    <w:rsid w:val="00DA5882"/>
    <w:rsid w:val="00DB32D9"/>
    <w:rsid w:val="00DB424B"/>
    <w:rsid w:val="00DB54A7"/>
    <w:rsid w:val="00DC0B61"/>
    <w:rsid w:val="00DC2186"/>
    <w:rsid w:val="00DC4421"/>
    <w:rsid w:val="00DC4C5E"/>
    <w:rsid w:val="00DD24D3"/>
    <w:rsid w:val="00DD2609"/>
    <w:rsid w:val="00DD559C"/>
    <w:rsid w:val="00DD704B"/>
    <w:rsid w:val="00DD77BE"/>
    <w:rsid w:val="00DD7DC1"/>
    <w:rsid w:val="00DE0E89"/>
    <w:rsid w:val="00DE1BF6"/>
    <w:rsid w:val="00DE54E9"/>
    <w:rsid w:val="00DE5AF5"/>
    <w:rsid w:val="00DE6E14"/>
    <w:rsid w:val="00DE751C"/>
    <w:rsid w:val="00DF2191"/>
    <w:rsid w:val="00DF2B4A"/>
    <w:rsid w:val="00DF3D8A"/>
    <w:rsid w:val="00DF4BBF"/>
    <w:rsid w:val="00DF5F91"/>
    <w:rsid w:val="00E00561"/>
    <w:rsid w:val="00E0224A"/>
    <w:rsid w:val="00E03DC6"/>
    <w:rsid w:val="00E05BA6"/>
    <w:rsid w:val="00E075A0"/>
    <w:rsid w:val="00E104DF"/>
    <w:rsid w:val="00E10780"/>
    <w:rsid w:val="00E169C0"/>
    <w:rsid w:val="00E176C2"/>
    <w:rsid w:val="00E20BC6"/>
    <w:rsid w:val="00E23AEC"/>
    <w:rsid w:val="00E270E2"/>
    <w:rsid w:val="00E27D32"/>
    <w:rsid w:val="00E30C69"/>
    <w:rsid w:val="00E32326"/>
    <w:rsid w:val="00E50172"/>
    <w:rsid w:val="00E51682"/>
    <w:rsid w:val="00E55C56"/>
    <w:rsid w:val="00E61A2E"/>
    <w:rsid w:val="00E64526"/>
    <w:rsid w:val="00E65087"/>
    <w:rsid w:val="00E70AB7"/>
    <w:rsid w:val="00E7156A"/>
    <w:rsid w:val="00E71624"/>
    <w:rsid w:val="00E74EA0"/>
    <w:rsid w:val="00E76888"/>
    <w:rsid w:val="00E80E34"/>
    <w:rsid w:val="00E80FF0"/>
    <w:rsid w:val="00E821E5"/>
    <w:rsid w:val="00E82D01"/>
    <w:rsid w:val="00E85306"/>
    <w:rsid w:val="00E86DD1"/>
    <w:rsid w:val="00E934F5"/>
    <w:rsid w:val="00E939A4"/>
    <w:rsid w:val="00E94DB1"/>
    <w:rsid w:val="00E978B0"/>
    <w:rsid w:val="00EA1093"/>
    <w:rsid w:val="00EA52C7"/>
    <w:rsid w:val="00EA5D7F"/>
    <w:rsid w:val="00EA6A7B"/>
    <w:rsid w:val="00EB255D"/>
    <w:rsid w:val="00EB25D0"/>
    <w:rsid w:val="00EB3BAD"/>
    <w:rsid w:val="00EB3EF1"/>
    <w:rsid w:val="00EB4A59"/>
    <w:rsid w:val="00EB5630"/>
    <w:rsid w:val="00EC07BF"/>
    <w:rsid w:val="00EC18D2"/>
    <w:rsid w:val="00EC2B70"/>
    <w:rsid w:val="00EC2C7C"/>
    <w:rsid w:val="00EC2D69"/>
    <w:rsid w:val="00EC6DB2"/>
    <w:rsid w:val="00ED036C"/>
    <w:rsid w:val="00ED054E"/>
    <w:rsid w:val="00ED16EE"/>
    <w:rsid w:val="00ED795A"/>
    <w:rsid w:val="00EE3DD5"/>
    <w:rsid w:val="00EF1E2F"/>
    <w:rsid w:val="00EF40F7"/>
    <w:rsid w:val="00EF7163"/>
    <w:rsid w:val="00EF7971"/>
    <w:rsid w:val="00F02649"/>
    <w:rsid w:val="00F02AD0"/>
    <w:rsid w:val="00F038E0"/>
    <w:rsid w:val="00F065C3"/>
    <w:rsid w:val="00F10DFD"/>
    <w:rsid w:val="00F12123"/>
    <w:rsid w:val="00F13FDB"/>
    <w:rsid w:val="00F17A6F"/>
    <w:rsid w:val="00F17F35"/>
    <w:rsid w:val="00F24533"/>
    <w:rsid w:val="00F3284A"/>
    <w:rsid w:val="00F34104"/>
    <w:rsid w:val="00F34960"/>
    <w:rsid w:val="00F35C92"/>
    <w:rsid w:val="00F36007"/>
    <w:rsid w:val="00F401C5"/>
    <w:rsid w:val="00F40DA3"/>
    <w:rsid w:val="00F4210A"/>
    <w:rsid w:val="00F44505"/>
    <w:rsid w:val="00F44B3B"/>
    <w:rsid w:val="00F4570C"/>
    <w:rsid w:val="00F55CC5"/>
    <w:rsid w:val="00F621EE"/>
    <w:rsid w:val="00F62933"/>
    <w:rsid w:val="00F646F3"/>
    <w:rsid w:val="00F65451"/>
    <w:rsid w:val="00F65920"/>
    <w:rsid w:val="00F67971"/>
    <w:rsid w:val="00F71C7A"/>
    <w:rsid w:val="00F73263"/>
    <w:rsid w:val="00F73D39"/>
    <w:rsid w:val="00F75182"/>
    <w:rsid w:val="00F7551E"/>
    <w:rsid w:val="00F80EBC"/>
    <w:rsid w:val="00F83E17"/>
    <w:rsid w:val="00F86323"/>
    <w:rsid w:val="00F87ACE"/>
    <w:rsid w:val="00F91133"/>
    <w:rsid w:val="00F939FE"/>
    <w:rsid w:val="00F94444"/>
    <w:rsid w:val="00F94F7B"/>
    <w:rsid w:val="00F96927"/>
    <w:rsid w:val="00FA3137"/>
    <w:rsid w:val="00FA50F2"/>
    <w:rsid w:val="00FA6C36"/>
    <w:rsid w:val="00FA7FC1"/>
    <w:rsid w:val="00FB0FFE"/>
    <w:rsid w:val="00FB2A67"/>
    <w:rsid w:val="00FB3774"/>
    <w:rsid w:val="00FB4333"/>
    <w:rsid w:val="00FB7FB9"/>
    <w:rsid w:val="00FC13F7"/>
    <w:rsid w:val="00FC1D24"/>
    <w:rsid w:val="00FC218E"/>
    <w:rsid w:val="00FC45F4"/>
    <w:rsid w:val="00FC6C69"/>
    <w:rsid w:val="00FC6FFD"/>
    <w:rsid w:val="00FD12B7"/>
    <w:rsid w:val="00FD32F8"/>
    <w:rsid w:val="00FD596C"/>
    <w:rsid w:val="00FD5E2D"/>
    <w:rsid w:val="00FD78C8"/>
    <w:rsid w:val="00FE246B"/>
    <w:rsid w:val="00FE33C3"/>
    <w:rsid w:val="00FE6704"/>
    <w:rsid w:val="00FE79AA"/>
    <w:rsid w:val="00FF455F"/>
    <w:rsid w:val="00FF52FC"/>
    <w:rsid w:val="00FF6D87"/>
    <w:rsid w:val="00FF7AA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95339"/>
  <w15:chartTrackingRefBased/>
  <w15:docId w15:val="{8D6A92A0-1F0D-41D8-91C7-6CB24C5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thfinder Bodycopy"/>
    <w:qFormat/>
    <w:rsid w:val="009F17E1"/>
    <w:pPr>
      <w:spacing w:line="360" w:lineRule="auto"/>
    </w:pPr>
    <w:rPr>
      <w:rFonts w:ascii="PP Neue Montreal" w:hAnsi="PP Neue Montreal"/>
      <w:color w:val="343832"/>
      <w:sz w:val="20"/>
    </w:rPr>
  </w:style>
  <w:style w:type="paragraph" w:styleId="Heading1">
    <w:name w:val="heading 1"/>
    <w:aliases w:val="Pathfinder Heading 1"/>
    <w:basedOn w:val="Normal"/>
    <w:next w:val="Normal"/>
    <w:link w:val="Heading1Char"/>
    <w:uiPriority w:val="9"/>
    <w:qFormat/>
    <w:rsid w:val="000D6CE4"/>
    <w:pPr>
      <w:keepNext/>
      <w:keepLines/>
      <w:spacing w:before="240"/>
      <w:outlineLvl w:val="0"/>
    </w:pPr>
    <w:rPr>
      <w:rFonts w:ascii="PP Neue Montreal Medium" w:eastAsiaTheme="majorEastAsia" w:hAnsi="PP Neue Montreal Medium" w:cstheme="majorBidi"/>
      <w:color w:val="80A3C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7156A"/>
    <w:pPr>
      <w:autoSpaceDE w:val="0"/>
      <w:autoSpaceDN w:val="0"/>
      <w:adjustRightInd w:val="0"/>
      <w:spacing w:line="288" w:lineRule="auto"/>
      <w:textAlignment w:val="center"/>
    </w:pPr>
    <w:rPr>
      <w:rFonts w:ascii="MinionPro-Regular" w:hAnsi="MinionPro-Regular" w:cs="MinionPro-Regular"/>
      <w:color w:val="000000"/>
      <w:lang w:val="en-US"/>
    </w:rPr>
  </w:style>
  <w:style w:type="table" w:styleId="TableGrid">
    <w:name w:val="Table Grid"/>
    <w:basedOn w:val="TableNormal"/>
    <w:uiPriority w:val="39"/>
    <w:rsid w:val="00D5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D54E7B"/>
    <w:pPr>
      <w:suppressAutoHyphens/>
      <w:autoSpaceDE w:val="0"/>
      <w:autoSpaceDN w:val="0"/>
      <w:adjustRightInd w:val="0"/>
      <w:spacing w:after="217" w:line="260" w:lineRule="atLeast"/>
      <w:textAlignment w:val="center"/>
    </w:pPr>
    <w:rPr>
      <w:rFonts w:cs="PP Neue Montreal"/>
      <w:color w:val="393D39"/>
      <w:sz w:val="18"/>
      <w:szCs w:val="18"/>
      <w:lang w:val="en-US"/>
    </w:rPr>
  </w:style>
  <w:style w:type="paragraph" w:styleId="Footer">
    <w:name w:val="footer"/>
    <w:basedOn w:val="Normal"/>
    <w:link w:val="FooterChar"/>
    <w:uiPriority w:val="99"/>
    <w:unhideWhenUsed/>
    <w:rsid w:val="00D711B6"/>
    <w:pPr>
      <w:tabs>
        <w:tab w:val="center" w:pos="4513"/>
        <w:tab w:val="right" w:pos="9026"/>
      </w:tabs>
    </w:pPr>
  </w:style>
  <w:style w:type="character" w:customStyle="1" w:styleId="FooterChar">
    <w:name w:val="Footer Char"/>
    <w:basedOn w:val="DefaultParagraphFont"/>
    <w:link w:val="Footer"/>
    <w:uiPriority w:val="99"/>
    <w:rsid w:val="00D711B6"/>
  </w:style>
  <w:style w:type="character" w:styleId="Hyperlink">
    <w:name w:val="Hyperlink"/>
    <w:basedOn w:val="DefaultParagraphFont"/>
    <w:uiPriority w:val="99"/>
    <w:rsid w:val="00716B96"/>
    <w:rPr>
      <w:rFonts w:ascii="PP Neue Montreal Medium" w:hAnsi="PP Neue Montreal Medium"/>
      <w:b w:val="0"/>
      <w:i w:val="0"/>
      <w:color w:val="80A3C5"/>
      <w:sz w:val="20"/>
      <w:u w:val="single"/>
    </w:rPr>
  </w:style>
  <w:style w:type="paragraph" w:customStyle="1" w:styleId="Pathfinderhyperlink">
    <w:name w:val="Pathfinder hyperlink"/>
    <w:basedOn w:val="Normal"/>
    <w:qFormat/>
    <w:rsid w:val="00716B96"/>
    <w:rPr>
      <w:rFonts w:cs="PP Neue Montreal"/>
      <w:b/>
      <w:bCs/>
      <w:color w:val="80A3C5"/>
      <w:sz w:val="18"/>
      <w:szCs w:val="18"/>
      <w:u w:val="thick"/>
      <w:lang w:val="en-US"/>
    </w:rPr>
  </w:style>
  <w:style w:type="character" w:customStyle="1" w:styleId="Heading1Char">
    <w:name w:val="Heading 1 Char"/>
    <w:aliases w:val="Pathfinder Heading 1 Char"/>
    <w:basedOn w:val="DefaultParagraphFont"/>
    <w:link w:val="Heading1"/>
    <w:uiPriority w:val="9"/>
    <w:rsid w:val="000D6CE4"/>
    <w:rPr>
      <w:rFonts w:ascii="PP Neue Montreal Medium" w:eastAsiaTheme="majorEastAsia" w:hAnsi="PP Neue Montreal Medium" w:cstheme="majorBidi"/>
      <w:color w:val="80A3C5"/>
      <w:sz w:val="32"/>
      <w:szCs w:val="32"/>
    </w:rPr>
  </w:style>
  <w:style w:type="character" w:styleId="UnresolvedMention">
    <w:name w:val="Unresolved Mention"/>
    <w:basedOn w:val="DefaultParagraphFont"/>
    <w:uiPriority w:val="99"/>
    <w:semiHidden/>
    <w:unhideWhenUsed/>
    <w:rsid w:val="00D54E7B"/>
    <w:rPr>
      <w:color w:val="605E5C"/>
      <w:shd w:val="clear" w:color="auto" w:fill="E1DFDD"/>
    </w:rPr>
  </w:style>
  <w:style w:type="character" w:styleId="FollowedHyperlink">
    <w:name w:val="FollowedHyperlink"/>
    <w:basedOn w:val="DefaultParagraphFont"/>
    <w:uiPriority w:val="99"/>
    <w:semiHidden/>
    <w:unhideWhenUsed/>
    <w:rsid w:val="00D54E7B"/>
    <w:rPr>
      <w:color w:val="954F72" w:themeColor="followedHyperlink"/>
      <w:u w:val="single"/>
    </w:rPr>
  </w:style>
  <w:style w:type="paragraph" w:customStyle="1" w:styleId="Pathfinderbodycopyblue">
    <w:name w:val="Pathfinder bodycopy blue"/>
    <w:basedOn w:val="Normal"/>
    <w:qFormat/>
    <w:rsid w:val="00D54E7B"/>
    <w:rPr>
      <w:color w:val="80A3C5"/>
    </w:rPr>
  </w:style>
  <w:style w:type="paragraph" w:customStyle="1" w:styleId="PathfinderHeading2">
    <w:name w:val="Pathfinder Heading 2"/>
    <w:basedOn w:val="Normal"/>
    <w:qFormat/>
    <w:rsid w:val="00EA52C7"/>
    <w:rPr>
      <w:color w:val="80A3C5"/>
      <w:sz w:val="22"/>
    </w:rPr>
  </w:style>
  <w:style w:type="table" w:customStyle="1" w:styleId="Pathfindertable">
    <w:name w:val="Pathfinder table"/>
    <w:basedOn w:val="TableNormal"/>
    <w:uiPriority w:val="99"/>
    <w:rsid w:val="007241F8"/>
    <w:tblPr>
      <w:tblBorders>
        <w:bottom w:val="single" w:sz="2" w:space="0" w:color="auto"/>
        <w:insideH w:val="single" w:sz="2" w:space="0" w:color="auto"/>
      </w:tblBorders>
    </w:tblPr>
    <w:tcPr>
      <w:vAlign w:val="bottom"/>
    </w:tcPr>
    <w:tblStylePr w:type="firstRow">
      <w:pPr>
        <w:jc w:val="left"/>
      </w:pPr>
      <w:rPr>
        <w:rFonts w:ascii="DengXian Light" w:hAnsi="DengXian Light"/>
        <w:b w:val="0"/>
        <w:i w:val="0"/>
        <w:color w:val="80A3C5"/>
        <w:sz w:val="24"/>
      </w:rPr>
      <w:tblPr/>
      <w:tcPr>
        <w:vAlign w:val="center"/>
      </w:tcPr>
    </w:tblStylePr>
  </w:style>
  <w:style w:type="table" w:customStyle="1" w:styleId="Style1">
    <w:name w:val="Style1"/>
    <w:basedOn w:val="TableNormal"/>
    <w:uiPriority w:val="99"/>
    <w:rsid w:val="0036021F"/>
    <w:tblPr/>
    <w:tblStylePr w:type="lastRow">
      <w:rPr>
        <w:rFonts w:ascii="PP Neue Montreal Medium" w:hAnsi="PP Neue Montreal Medium"/>
        <w:b w:val="0"/>
        <w:i w:val="0"/>
        <w:sz w:val="20"/>
      </w:rPr>
      <w:tblPr/>
      <w:tcPr>
        <w:tcBorders>
          <w:top w:val="single" w:sz="4" w:space="0" w:color="auto"/>
          <w:bottom w:val="nil"/>
        </w:tcBorders>
      </w:tcPr>
    </w:tblStylePr>
  </w:style>
  <w:style w:type="paragraph" w:customStyle="1" w:styleId="sectionsubhead">
    <w:name w:val="section subhead"/>
    <w:basedOn w:val="Normal"/>
    <w:uiPriority w:val="99"/>
    <w:rsid w:val="006B6054"/>
    <w:pPr>
      <w:suppressAutoHyphens/>
      <w:autoSpaceDE w:val="0"/>
      <w:autoSpaceDN w:val="0"/>
      <w:adjustRightInd w:val="0"/>
      <w:spacing w:after="170" w:line="240" w:lineRule="atLeast"/>
      <w:textAlignment w:val="center"/>
    </w:pPr>
    <w:rPr>
      <w:rFonts w:ascii="PP Neue Montreal Medium" w:hAnsi="PP Neue Montreal Medium" w:cs="PP Neue Montreal Medium"/>
      <w:color w:val="7FA3C5"/>
      <w:sz w:val="32"/>
      <w:szCs w:val="32"/>
      <w:lang w:val="en-US"/>
    </w:rPr>
  </w:style>
  <w:style w:type="character" w:styleId="PageNumber">
    <w:name w:val="page number"/>
    <w:basedOn w:val="DefaultParagraphFont"/>
    <w:uiPriority w:val="99"/>
    <w:semiHidden/>
    <w:unhideWhenUsed/>
    <w:rsid w:val="00B33819"/>
  </w:style>
  <w:style w:type="paragraph" w:styleId="ListParagraph">
    <w:name w:val="List Paragraph"/>
    <w:basedOn w:val="Normal"/>
    <w:uiPriority w:val="34"/>
    <w:qFormat/>
    <w:rsid w:val="00A10A38"/>
    <w:pPr>
      <w:ind w:left="720"/>
      <w:contextualSpacing/>
    </w:pPr>
  </w:style>
  <w:style w:type="paragraph" w:customStyle="1" w:styleId="Tabletext">
    <w:name w:val="Table text"/>
    <w:basedOn w:val="Normal"/>
    <w:uiPriority w:val="99"/>
    <w:rsid w:val="0002784E"/>
    <w:pPr>
      <w:suppressAutoHyphens/>
      <w:autoSpaceDE w:val="0"/>
      <w:autoSpaceDN w:val="0"/>
      <w:adjustRightInd w:val="0"/>
      <w:spacing w:after="217" w:line="288" w:lineRule="auto"/>
      <w:textAlignment w:val="center"/>
    </w:pPr>
    <w:rPr>
      <w:rFonts w:cs="PP Neue Montreal"/>
      <w:color w:val="393D39"/>
      <w:sz w:val="18"/>
      <w:szCs w:val="18"/>
      <w:lang w:val="en-US"/>
    </w:rPr>
  </w:style>
  <w:style w:type="paragraph" w:styleId="Revision">
    <w:name w:val="Revision"/>
    <w:hidden/>
    <w:uiPriority w:val="99"/>
    <w:semiHidden/>
    <w:rsid w:val="003168D9"/>
    <w:rPr>
      <w:rFonts w:ascii="PP Neue Montreal" w:hAnsi="PP Neue Montreal"/>
      <w:color w:val="343832"/>
      <w:sz w:val="20"/>
    </w:rPr>
  </w:style>
  <w:style w:type="character" w:styleId="CommentReference">
    <w:name w:val="annotation reference"/>
    <w:basedOn w:val="DefaultParagraphFont"/>
    <w:uiPriority w:val="99"/>
    <w:semiHidden/>
    <w:unhideWhenUsed/>
    <w:rsid w:val="003168D9"/>
    <w:rPr>
      <w:sz w:val="16"/>
      <w:szCs w:val="16"/>
    </w:rPr>
  </w:style>
  <w:style w:type="paragraph" w:styleId="CommentText">
    <w:name w:val="annotation text"/>
    <w:basedOn w:val="Normal"/>
    <w:link w:val="CommentTextChar"/>
    <w:uiPriority w:val="99"/>
    <w:unhideWhenUsed/>
    <w:rsid w:val="003168D9"/>
    <w:pPr>
      <w:spacing w:line="240" w:lineRule="auto"/>
    </w:pPr>
    <w:rPr>
      <w:szCs w:val="20"/>
    </w:rPr>
  </w:style>
  <w:style w:type="character" w:customStyle="1" w:styleId="CommentTextChar">
    <w:name w:val="Comment Text Char"/>
    <w:basedOn w:val="DefaultParagraphFont"/>
    <w:link w:val="CommentText"/>
    <w:uiPriority w:val="99"/>
    <w:rsid w:val="003168D9"/>
    <w:rPr>
      <w:rFonts w:ascii="PP Neue Montreal" w:hAnsi="PP Neue Montreal"/>
      <w:color w:val="343832"/>
      <w:sz w:val="20"/>
      <w:szCs w:val="20"/>
    </w:rPr>
  </w:style>
  <w:style w:type="paragraph" w:styleId="CommentSubject">
    <w:name w:val="annotation subject"/>
    <w:basedOn w:val="CommentText"/>
    <w:next w:val="CommentText"/>
    <w:link w:val="CommentSubjectChar"/>
    <w:uiPriority w:val="99"/>
    <w:semiHidden/>
    <w:unhideWhenUsed/>
    <w:rsid w:val="003168D9"/>
    <w:rPr>
      <w:b/>
      <w:bCs/>
    </w:rPr>
  </w:style>
  <w:style w:type="character" w:customStyle="1" w:styleId="CommentSubjectChar">
    <w:name w:val="Comment Subject Char"/>
    <w:basedOn w:val="CommentTextChar"/>
    <w:link w:val="CommentSubject"/>
    <w:uiPriority w:val="99"/>
    <w:semiHidden/>
    <w:rsid w:val="003168D9"/>
    <w:rPr>
      <w:rFonts w:ascii="PP Neue Montreal" w:hAnsi="PP Neue Montreal"/>
      <w:b/>
      <w:bCs/>
      <w:color w:val="343832"/>
      <w:sz w:val="20"/>
      <w:szCs w:val="20"/>
    </w:rPr>
  </w:style>
  <w:style w:type="paragraph" w:styleId="Header">
    <w:name w:val="header"/>
    <w:basedOn w:val="Normal"/>
    <w:link w:val="HeaderChar"/>
    <w:uiPriority w:val="99"/>
    <w:unhideWhenUsed/>
    <w:rsid w:val="00433E20"/>
    <w:pPr>
      <w:tabs>
        <w:tab w:val="center" w:pos="4513"/>
        <w:tab w:val="right" w:pos="9026"/>
      </w:tabs>
      <w:spacing w:line="240" w:lineRule="auto"/>
    </w:pPr>
  </w:style>
  <w:style w:type="character" w:customStyle="1" w:styleId="HeaderChar">
    <w:name w:val="Header Char"/>
    <w:basedOn w:val="DefaultParagraphFont"/>
    <w:link w:val="Header"/>
    <w:uiPriority w:val="99"/>
    <w:rsid w:val="00433E20"/>
    <w:rPr>
      <w:rFonts w:ascii="PP Neue Montreal" w:hAnsi="PP Neue Montreal"/>
      <w:color w:val="34383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1476">
      <w:bodyDiv w:val="1"/>
      <w:marLeft w:val="0"/>
      <w:marRight w:val="0"/>
      <w:marTop w:val="0"/>
      <w:marBottom w:val="0"/>
      <w:divBdr>
        <w:top w:val="none" w:sz="0" w:space="0" w:color="auto"/>
        <w:left w:val="none" w:sz="0" w:space="0" w:color="auto"/>
        <w:bottom w:val="none" w:sz="0" w:space="0" w:color="auto"/>
        <w:right w:val="none" w:sz="0" w:space="0" w:color="auto"/>
      </w:divBdr>
    </w:div>
    <w:div w:id="440347686">
      <w:bodyDiv w:val="1"/>
      <w:marLeft w:val="0"/>
      <w:marRight w:val="0"/>
      <w:marTop w:val="0"/>
      <w:marBottom w:val="0"/>
      <w:divBdr>
        <w:top w:val="none" w:sz="0" w:space="0" w:color="auto"/>
        <w:left w:val="none" w:sz="0" w:space="0" w:color="auto"/>
        <w:bottom w:val="none" w:sz="0" w:space="0" w:color="auto"/>
        <w:right w:val="none" w:sz="0" w:space="0" w:color="auto"/>
      </w:divBdr>
    </w:div>
    <w:div w:id="1013461175">
      <w:bodyDiv w:val="1"/>
      <w:marLeft w:val="0"/>
      <w:marRight w:val="0"/>
      <w:marTop w:val="0"/>
      <w:marBottom w:val="0"/>
      <w:divBdr>
        <w:top w:val="none" w:sz="0" w:space="0" w:color="auto"/>
        <w:left w:val="none" w:sz="0" w:space="0" w:color="auto"/>
        <w:bottom w:val="none" w:sz="0" w:space="0" w:color="auto"/>
        <w:right w:val="none" w:sz="0" w:space="0" w:color="auto"/>
      </w:divBdr>
    </w:div>
    <w:div w:id="20344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pathfinder.kiwi/documents-and-fo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orted.org.nz/tools/investor-kickstarter" TargetMode="External"/><Relationship Id="rId25" Type="http://schemas.openxmlformats.org/officeDocument/2006/relationships/hyperlink" Target="https://pathfinder.kiwi/media/documents/Pathfinder_SIPO_202405.pdf"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sclose-register.companiesoffice.govt.nz/"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pathfinder.kiwi/documents-and-forms/" TargetMode="External"/><Relationship Id="rId10" Type="http://schemas.openxmlformats.org/officeDocument/2006/relationships/endnotes" Target="endnotes.xml"/><Relationship Id="rId19" Type="http://schemas.openxmlformats.org/officeDocument/2006/relationships/hyperlink" Target="https://disclose-register.companiesoffice.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https://alvariumnz.sharepoint.com/sites/LegalandCompliance/Shared%20Documents/Compliance/_Regulatory%20reporting/Quarterly%20fund%20updates-Working/202512/Pie%20and%20Bar%20graph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alvariumnz.sharepoint.com/sites/LegalandCompliance/Shared%20Documents/Compliance/_Regulatory%20reporting/Quarterly%20fund%20updates-Working/202512/Pie%20and%20Bar%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26692605220696E-2"/>
          <c:y val="0.10915322060152316"/>
          <c:w val="0.89833135008790221"/>
          <c:h val="0.63469859300374343"/>
        </c:manualLayout>
      </c:layout>
      <c:barChart>
        <c:barDir val="col"/>
        <c:grouping val="clustered"/>
        <c:varyColors val="0"/>
        <c:ser>
          <c:idx val="0"/>
          <c:order val="0"/>
          <c:tx>
            <c:strRef>
              <c:f>'QU Returns Data'!$P$4</c:f>
              <c:strCache>
                <c:ptCount val="1"/>
                <c:pt idx="0">
                  <c:v>Fund</c:v>
                </c:pt>
              </c:strCache>
            </c:strRef>
          </c:tx>
          <c:spPr>
            <a:solidFill>
              <a:schemeClr val="accent1"/>
            </a:solidFill>
            <a:ln>
              <a:noFill/>
            </a:ln>
            <a:effectLst/>
          </c:spPr>
          <c:invertIfNegative val="0"/>
          <c:dLbls>
            <c:dLbl>
              <c:idx val="1"/>
              <c:layout>
                <c:manualLayout>
                  <c:x val="-1.7044071098125151E-2"/>
                  <c:y val="3.64166059723233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14-4837-88E1-73704BFCA20D}"/>
                </c:ext>
              </c:extLst>
            </c:dLbl>
            <c:dLbl>
              <c:idx val="4"/>
              <c:layout>
                <c:manualLayout>
                  <c:x val="-2.9218407596785977E-2"/>
                  <c:y val="1.4566642388929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14-4837-88E1-73704BFCA20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 Returns Data'!$A$18:$A$22</c:f>
              <c:strCache>
                <c:ptCount val="5"/>
                <c:pt idx="0">
                  <c:v>Year to Mar-22</c:v>
                </c:pt>
                <c:pt idx="1">
                  <c:v>Year to Mar-23</c:v>
                </c:pt>
                <c:pt idx="2">
                  <c:v>Year to Mar-24</c:v>
                </c:pt>
                <c:pt idx="3">
                  <c:v>Year to Mar-25</c:v>
                </c:pt>
                <c:pt idx="4">
                  <c:v>Inception to Dec. 2025</c:v>
                </c:pt>
              </c:strCache>
              <c:extLst/>
            </c:strRef>
          </c:cat>
          <c:val>
            <c:numRef>
              <c:f>'QU Returns Data'!$P$18:$P$22</c:f>
              <c:numCache>
                <c:formatCode>0.00%</c:formatCode>
                <c:ptCount val="5"/>
                <c:pt idx="0">
                  <c:v>2.4500000000000001E-2</c:v>
                </c:pt>
                <c:pt idx="1">
                  <c:v>-2.7300000000000001E-2</c:v>
                </c:pt>
                <c:pt idx="2">
                  <c:v>0.14249999999999999</c:v>
                </c:pt>
                <c:pt idx="3">
                  <c:v>2.1299999999999999E-2</c:v>
                </c:pt>
                <c:pt idx="4">
                  <c:v>7.1099999999999997E-2</c:v>
                </c:pt>
              </c:numCache>
              <c:extLst/>
            </c:numRef>
          </c:val>
          <c:extLst>
            <c:ext xmlns:c16="http://schemas.microsoft.com/office/drawing/2014/chart" uri="{C3380CC4-5D6E-409C-BE32-E72D297353CC}">
              <c16:uniqueId val="{00000000-0A14-4837-88E1-73704BFCA20D}"/>
            </c:ext>
          </c:extLst>
        </c:ser>
        <c:ser>
          <c:idx val="1"/>
          <c:order val="1"/>
          <c:tx>
            <c:strRef>
              <c:f>'QU Returns Data'!$Q$4</c:f>
              <c:strCache>
                <c:ptCount val="1"/>
                <c:pt idx="0">
                  <c:v>Market index</c:v>
                </c:pt>
              </c:strCache>
            </c:strRef>
          </c:tx>
          <c:spPr>
            <a:solidFill>
              <a:schemeClr val="accent2"/>
            </a:solidFill>
            <a:ln>
              <a:noFill/>
            </a:ln>
            <a:effectLst/>
          </c:spPr>
          <c:invertIfNegative val="0"/>
          <c:dLbls>
            <c:dLbl>
              <c:idx val="0"/>
              <c:layout>
                <c:manualLayout>
                  <c:x val="3.165327489651814E-2"/>
                  <c:y val="-7.28332119446474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14-4837-88E1-73704BFCA20D}"/>
                </c:ext>
              </c:extLst>
            </c:dLbl>
            <c:dLbl>
              <c:idx val="1"/>
              <c:layout>
                <c:manualLayout>
                  <c:x val="2.1913805697589436E-2"/>
                  <c:y val="7.28332119446480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14-4837-88E1-73704BFCA20D}"/>
                </c:ext>
              </c:extLst>
            </c:dLbl>
            <c:dLbl>
              <c:idx val="2"/>
              <c:layout>
                <c:manualLayout>
                  <c:x val="2.1913805697589481E-2"/>
                  <c:y val="-2.9133284777858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14-4837-88E1-73704BFCA20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 Returns Data'!$A$18:$A$22</c:f>
              <c:strCache>
                <c:ptCount val="5"/>
                <c:pt idx="0">
                  <c:v>Year to Mar-22</c:v>
                </c:pt>
                <c:pt idx="1">
                  <c:v>Year to Mar-23</c:v>
                </c:pt>
                <c:pt idx="2">
                  <c:v>Year to Mar-24</c:v>
                </c:pt>
                <c:pt idx="3">
                  <c:v>Year to Mar-25</c:v>
                </c:pt>
                <c:pt idx="4">
                  <c:v>Inception to Dec. 2025</c:v>
                </c:pt>
              </c:strCache>
              <c:extLst/>
            </c:strRef>
          </c:cat>
          <c:val>
            <c:numRef>
              <c:f>'QU Returns Data'!$Q$18:$Q$22</c:f>
              <c:numCache>
                <c:formatCode>0.00%</c:formatCode>
                <c:ptCount val="5"/>
                <c:pt idx="0">
                  <c:v>4.3299999999999998E-2</c:v>
                </c:pt>
                <c:pt idx="1">
                  <c:v>-7.4000000000000003E-3</c:v>
                </c:pt>
                <c:pt idx="2">
                  <c:v>0.15430180748589284</c:v>
                </c:pt>
                <c:pt idx="3">
                  <c:v>7.3300000000000004E-2</c:v>
                </c:pt>
                <c:pt idx="4">
                  <c:v>9.3382844885957716E-2</c:v>
                </c:pt>
              </c:numCache>
              <c:extLst/>
            </c:numRef>
          </c:val>
          <c:extLst>
            <c:ext xmlns:c16="http://schemas.microsoft.com/office/drawing/2014/chart" uri="{C3380CC4-5D6E-409C-BE32-E72D297353CC}">
              <c16:uniqueId val="{00000001-0A14-4837-88E1-73704BFCA20D}"/>
            </c:ext>
          </c:extLst>
        </c:ser>
        <c:dLbls>
          <c:dLblPos val="outEnd"/>
          <c:showLegendKey val="0"/>
          <c:showVal val="1"/>
          <c:showCatName val="0"/>
          <c:showSerName val="0"/>
          <c:showPercent val="0"/>
          <c:showBubbleSize val="0"/>
        </c:dLbls>
        <c:gapWidth val="219"/>
        <c:overlap val="-27"/>
        <c:axId val="961008671"/>
        <c:axId val="961009151"/>
      </c:barChart>
      <c:catAx>
        <c:axId val="961008671"/>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en-US"/>
          </a:p>
        </c:txPr>
        <c:crossAx val="961009151"/>
        <c:crosses val="autoZero"/>
        <c:auto val="1"/>
        <c:lblAlgn val="ctr"/>
        <c:lblOffset val="100"/>
        <c:noMultiLvlLbl val="0"/>
      </c:catAx>
      <c:valAx>
        <c:axId val="9610091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vert="horz"/>
          <a:lstStyle/>
          <a:p>
            <a:pPr>
              <a:defRPr/>
            </a:pPr>
            <a:endParaRPr lang="en-US"/>
          </a:p>
        </c:txPr>
        <c:crossAx val="961008671"/>
        <c:crosses val="autoZero"/>
        <c:crossBetween val="between"/>
      </c:valAx>
    </c:plotArea>
    <c:legend>
      <c:legendPos val="b"/>
      <c:layout>
        <c:manualLayout>
          <c:xMode val="edge"/>
          <c:yMode val="edge"/>
          <c:x val="0.42034782430746498"/>
          <c:y val="0.9077862398347748"/>
          <c:w val="0.25387517758234934"/>
          <c:h val="9.2213760165225256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lumMod val="65000"/>
              <a:lumOff val="35000"/>
            </a:schemeClr>
          </a:solidFill>
          <a:latin typeface="PP Neue Montreal Medium" panose="00000600000000000000" pitchFamily="50" charset="0"/>
          <a:ea typeface="PP Neue Montreal Medium" panose="00000600000000000000" pitchFamily="50"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r>
              <a:rPr lang="en-NZ"/>
              <a:t>Actual investment mix</a:t>
            </a:r>
            <a:r>
              <a:rPr lang="en-NZ" baseline="30000"/>
              <a:t>2</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endParaRPr lang="en-US"/>
        </a:p>
      </c:txPr>
    </c:title>
    <c:autoTitleDeleted val="0"/>
    <c:plotArea>
      <c:layout>
        <c:manualLayout>
          <c:layoutTarget val="inner"/>
          <c:xMode val="edge"/>
          <c:yMode val="edge"/>
          <c:x val="0.1161408293534147"/>
          <c:y val="0.12409519296371956"/>
          <c:w val="0.77297113075185631"/>
          <c:h val="0.468085420797262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A1-403D-A9BC-D9635868F0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A1-403D-A9BC-D9635868F0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A1-403D-A9BC-D9635868F03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A1-403D-A9BC-D9635868F03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A1-403D-A9BC-D9635868F03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9A1-403D-A9BC-D9635868F03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9A1-403D-A9BC-D9635868F030}"/>
              </c:ext>
            </c:extLst>
          </c:dPt>
          <c:dLbls>
            <c:dLbl>
              <c:idx val="3"/>
              <c:tx>
                <c:rich>
                  <a:bodyPr/>
                  <a:lstStyle/>
                  <a:p>
                    <a:fld id="{287EDDD1-7988-47C5-AA81-CC08D24AB289}" type="VALUE">
                      <a:rPr lang="en-US">
                        <a:solidFill>
                          <a:schemeClr val="accent6"/>
                        </a:solidFill>
                      </a:rPr>
                      <a:pPr/>
                      <a:t>[VALUE]</a:t>
                    </a:fld>
                    <a:endParaRPr lang="en-NZ"/>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9A1-403D-A9BC-D9635868F03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P Neue Montreal Medium" panose="00000600000000000000" pitchFamily="50" charset="0"/>
                    <a:ea typeface="PP Neue Montreal Medium" panose="00000600000000000000" pitchFamily="50" charset="0"/>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'MF Pie Charts'!$A$105:$A$111</c:f>
              <c:strCache>
                <c:ptCount val="7"/>
                <c:pt idx="0">
                  <c:v>International equities: 44.78%</c:v>
                </c:pt>
                <c:pt idx="1">
                  <c:v>Australasian equities: 17.84%</c:v>
                </c:pt>
                <c:pt idx="2">
                  <c:v>New Zealand fixed interest: 7.05%</c:v>
                </c:pt>
                <c:pt idx="3">
                  <c:v>Cash and Cash equivalents: 11.96%</c:v>
                </c:pt>
                <c:pt idx="4">
                  <c:v>International fixed interest: 10.56%</c:v>
                </c:pt>
                <c:pt idx="5">
                  <c:v>Listed property: 5.26%</c:v>
                </c:pt>
                <c:pt idx="6">
                  <c:v>Other: 2.55%</c:v>
                </c:pt>
              </c:strCache>
            </c:strRef>
          </c:cat>
          <c:val>
            <c:numRef>
              <c:f>'MF Pie Charts'!$B$105:$B$111</c:f>
              <c:numCache>
                <c:formatCode>[$-10409]0.00%</c:formatCode>
                <c:ptCount val="7"/>
                <c:pt idx="0">
                  <c:v>0.44777341505516177</c:v>
                </c:pt>
                <c:pt idx="1">
                  <c:v>0.17837458549502874</c:v>
                </c:pt>
                <c:pt idx="2">
                  <c:v>7.0524846946958597E-2</c:v>
                </c:pt>
                <c:pt idx="3">
                  <c:v>0.1196055323223468</c:v>
                </c:pt>
                <c:pt idx="4">
                  <c:v>0.10562302728575387</c:v>
                </c:pt>
                <c:pt idx="5">
                  <c:v>5.2571967381378773E-2</c:v>
                </c:pt>
                <c:pt idx="6">
                  <c:v>2.5526518761939794E-2</c:v>
                </c:pt>
              </c:numCache>
            </c:numRef>
          </c:val>
          <c:extLst>
            <c:ext xmlns:c16="http://schemas.microsoft.com/office/drawing/2014/chart" uri="{C3380CC4-5D6E-409C-BE32-E72D297353CC}">
              <c16:uniqueId val="{0000000E-B9A1-403D-A9BC-D9635868F03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PP Neue Montreal Medium" panose="00000600000000000000" pitchFamily="50" charset="0"/>
          <a:ea typeface="PP Neue Montreal Medium" panose="00000600000000000000" pitchFamily="50"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r>
              <a:rPr lang="en-NZ"/>
              <a:t>Target Investment mix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endParaRPr lang="en-US"/>
        </a:p>
      </c:txPr>
    </c:title>
    <c:autoTitleDeleted val="0"/>
    <c:plotArea>
      <c:layout>
        <c:manualLayout>
          <c:layoutTarget val="inner"/>
          <c:xMode val="edge"/>
          <c:yMode val="edge"/>
          <c:x val="0.11936403632999112"/>
          <c:y val="0.11488699885796719"/>
          <c:w val="0.77173660480338546"/>
          <c:h val="0.4703010616519350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75-4F4D-ADD7-C71686D9DD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75-4F4D-ADD7-C71686D9DD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75-4F4D-ADD7-C71686D9DD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75-4F4D-ADD7-C71686D9DD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75-4F4D-ADD7-C71686D9DDD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B75-4F4D-ADD7-C71686D9DDD3}"/>
              </c:ext>
            </c:extLst>
          </c:dPt>
          <c:dPt>
            <c:idx val="6"/>
            <c:bubble3D val="0"/>
            <c:spPr>
              <a:solidFill>
                <a:srgbClr val="002060"/>
              </a:solidFill>
              <a:ln w="19050">
                <a:solidFill>
                  <a:schemeClr val="lt1"/>
                </a:solidFill>
              </a:ln>
              <a:effectLst/>
            </c:spPr>
            <c:extLst>
              <c:ext xmlns:c16="http://schemas.microsoft.com/office/drawing/2014/chart" uri="{C3380CC4-5D6E-409C-BE32-E72D297353CC}">
                <c16:uniqueId val="{0000000D-EB75-4F4D-ADD7-C71686D9DDD3}"/>
              </c:ext>
            </c:extLst>
          </c:dPt>
          <c:dLbls>
            <c:dLbl>
              <c:idx val="3"/>
              <c:tx>
                <c:rich>
                  <a:bodyPr/>
                  <a:lstStyle/>
                  <a:p>
                    <a:fld id="{730E8016-B524-417A-B90E-16CF8E26799B}" type="VALUE">
                      <a:rPr lang="en-US">
                        <a:solidFill>
                          <a:schemeClr val="accent6"/>
                        </a:solidFill>
                      </a:rPr>
                      <a:pPr/>
                      <a:t>[VALUE]</a:t>
                    </a:fld>
                    <a:endParaRPr lang="en-NZ"/>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B75-4F4D-ADD7-C71686D9DDD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P Neue Montreal Medium" panose="00000600000000000000" pitchFamily="50" charset="0"/>
                    <a:ea typeface="PP Neue Montreal Medium" panose="00000600000000000000" pitchFamily="50" charset="0"/>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and Bar graphs.xlsx]MF Pie Charts'!$I$105:$I$111</c:f>
              <c:strCache>
                <c:ptCount val="7"/>
                <c:pt idx="0">
                  <c:v>International equities: 41.50%</c:v>
                </c:pt>
                <c:pt idx="1">
                  <c:v>Australasian equities: 20.60%</c:v>
                </c:pt>
                <c:pt idx="2">
                  <c:v>New Zealand fixed interest: 8.80%</c:v>
                </c:pt>
                <c:pt idx="3">
                  <c:v>Cash and Cash equivalents: 7.70%</c:v>
                </c:pt>
                <c:pt idx="4">
                  <c:v>International fixed interest: 11.70%</c:v>
                </c:pt>
                <c:pt idx="5">
                  <c:v>Listed property: 4.70%</c:v>
                </c:pt>
                <c:pt idx="6">
                  <c:v>Other: 5.00%</c:v>
                </c:pt>
              </c:strCache>
            </c:strRef>
          </c:cat>
          <c:val>
            <c:numRef>
              <c:f>'[Pie and Bar graphs.xlsx]MF Pie Charts'!$J$105:$J$111</c:f>
              <c:numCache>
                <c:formatCode>0.00%</c:formatCode>
                <c:ptCount val="7"/>
                <c:pt idx="0">
                  <c:v>0.41499999999999998</c:v>
                </c:pt>
                <c:pt idx="1">
                  <c:v>0.20599999999999999</c:v>
                </c:pt>
                <c:pt idx="2">
                  <c:v>8.7999999999999995E-2</c:v>
                </c:pt>
                <c:pt idx="3">
                  <c:v>7.6999999999999999E-2</c:v>
                </c:pt>
                <c:pt idx="4">
                  <c:v>0.11700000000000001</c:v>
                </c:pt>
                <c:pt idx="5">
                  <c:v>4.7E-2</c:v>
                </c:pt>
                <c:pt idx="6">
                  <c:v>0.05</c:v>
                </c:pt>
              </c:numCache>
            </c:numRef>
          </c:val>
          <c:extLst>
            <c:ext xmlns:c16="http://schemas.microsoft.com/office/drawing/2014/chart" uri="{C3380CC4-5D6E-409C-BE32-E72D297353CC}">
              <c16:uniqueId val="{0000000E-EB75-4F4D-ADD7-C71686D9DD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P Neue Montreal Medium" panose="00000600000000000000" pitchFamily="50" charset="0"/>
              <a:ea typeface="PP Neue Montreal Medium" panose="00000600000000000000" pitchFamily="50"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PP Neue Montreal Medium" panose="00000600000000000000" pitchFamily="50" charset="0"/>
          <a:ea typeface="PP Neue Montreal Medium" panose="00000600000000000000" pitchFamily="50" charset="0"/>
        </a:defRPr>
      </a:pPr>
      <a:endParaRPr lang="en-US"/>
    </a:p>
  </c:txPr>
  <c:externalData r:id="rId4">
    <c:autoUpdate val="1"/>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thfinder MANAGED FUND">
    <a:dk1>
      <a:sysClr val="windowText" lastClr="000000"/>
    </a:dk1>
    <a:lt1>
      <a:sysClr val="window" lastClr="FFFFFF"/>
    </a:lt1>
    <a:dk2>
      <a:srgbClr val="44546A"/>
    </a:dk2>
    <a:lt2>
      <a:srgbClr val="E7E6E6"/>
    </a:lt2>
    <a:accent1>
      <a:srgbClr val="80A2C5"/>
    </a:accent1>
    <a:accent2>
      <a:srgbClr val="ABBDD4"/>
    </a:accent2>
    <a:accent3>
      <a:srgbClr val="DBE3ED"/>
    </a:accent3>
    <a:accent4>
      <a:srgbClr val="393C37"/>
    </a:accent4>
    <a:accent5>
      <a:srgbClr val="817A79"/>
    </a:accent5>
    <a:accent6>
      <a:srgbClr val="B9B3B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thfinder MANAGED FUND">
    <a:dk1>
      <a:sysClr val="windowText" lastClr="000000"/>
    </a:dk1>
    <a:lt1>
      <a:sysClr val="window" lastClr="FFFFFF"/>
    </a:lt1>
    <a:dk2>
      <a:srgbClr val="44546A"/>
    </a:dk2>
    <a:lt2>
      <a:srgbClr val="E7E6E6"/>
    </a:lt2>
    <a:accent1>
      <a:srgbClr val="80A2C5"/>
    </a:accent1>
    <a:accent2>
      <a:srgbClr val="ABBDD4"/>
    </a:accent2>
    <a:accent3>
      <a:srgbClr val="DBE3ED"/>
    </a:accent3>
    <a:accent4>
      <a:srgbClr val="393C37"/>
    </a:accent4>
    <a:accent5>
      <a:srgbClr val="817A79"/>
    </a:accent5>
    <a:accent6>
      <a:srgbClr val="B9B3B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thfinder MF - Blue">
    <a:dk1>
      <a:sysClr val="windowText" lastClr="000000"/>
    </a:dk1>
    <a:lt1>
      <a:sysClr val="window" lastClr="FFFFFF"/>
    </a:lt1>
    <a:dk2>
      <a:srgbClr val="44546A"/>
    </a:dk2>
    <a:lt2>
      <a:srgbClr val="E7E6E6"/>
    </a:lt2>
    <a:accent1>
      <a:srgbClr val="80A2C5"/>
    </a:accent1>
    <a:accent2>
      <a:srgbClr val="ABBDD4"/>
    </a:accent2>
    <a:accent3>
      <a:srgbClr val="DBE3ED"/>
    </a:accent3>
    <a:accent4>
      <a:srgbClr val="817A79"/>
    </a:accent4>
    <a:accent5>
      <a:srgbClr val="B9B3B5"/>
    </a:accent5>
    <a:accent6>
      <a:srgbClr val="FFF1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85924-4f6f-429d-a89c-d8bd92eefcf3" xsi:nil="true"/>
    <lcf76f155ced4ddcb4097134ff3c332f xmlns="3ab74e52-78a0-4a02-bd32-1bb86a0930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1D821172C5B744B66CBB541F14C169" ma:contentTypeVersion="12" ma:contentTypeDescription="Create a new document." ma:contentTypeScope="" ma:versionID="a88162ec36e69ddc035ec429828a90cd">
  <xsd:schema xmlns:xsd="http://www.w3.org/2001/XMLSchema" xmlns:xs="http://www.w3.org/2001/XMLSchema" xmlns:p="http://schemas.microsoft.com/office/2006/metadata/properties" xmlns:ns2="3ab74e52-78a0-4a02-bd32-1bb86a09306e" xmlns:ns3="fa085924-4f6f-429d-a89c-d8bd92eefcf3" targetNamespace="http://schemas.microsoft.com/office/2006/metadata/properties" ma:root="true" ma:fieldsID="dba6d2b22dd33d98dca680b549a014e2" ns2:_="" ns3:_="">
    <xsd:import namespace="3ab74e52-78a0-4a02-bd32-1bb86a09306e"/>
    <xsd:import namespace="fa085924-4f6f-429d-a89c-d8bd92eefc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74e52-78a0-4a02-bd32-1bb86a09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f0e190-89ae-4a31-83d5-5491f5172d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85924-4f6f-429d-a89c-d8bd92eefc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3178e1-7a7e-4317-9313-e5ed73824a17}" ma:internalName="TaxCatchAll" ma:showField="CatchAllData" ma:web="fa085924-4f6f-429d-a89c-d8bd92eef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3C3F6-E538-4BD2-934C-1234789A6E21}">
  <ds:schemaRefs>
    <ds:schemaRef ds:uri="http://schemas.microsoft.com/office/2006/metadata/properties"/>
    <ds:schemaRef ds:uri="http://schemas.microsoft.com/office/infopath/2007/PartnerControls"/>
    <ds:schemaRef ds:uri="fa085924-4f6f-429d-a89c-d8bd92eefcf3"/>
    <ds:schemaRef ds:uri="3ab74e52-78a0-4a02-bd32-1bb86a09306e"/>
  </ds:schemaRefs>
</ds:datastoreItem>
</file>

<file path=customXml/itemProps2.xml><?xml version="1.0" encoding="utf-8"?>
<ds:datastoreItem xmlns:ds="http://schemas.openxmlformats.org/officeDocument/2006/customXml" ds:itemID="{8C723173-992B-AE47-B9A4-A85F17EC3AC4}">
  <ds:schemaRefs>
    <ds:schemaRef ds:uri="http://schemas.openxmlformats.org/officeDocument/2006/bibliography"/>
  </ds:schemaRefs>
</ds:datastoreItem>
</file>

<file path=customXml/itemProps3.xml><?xml version="1.0" encoding="utf-8"?>
<ds:datastoreItem xmlns:ds="http://schemas.openxmlformats.org/officeDocument/2006/customXml" ds:itemID="{87C5A210-4C10-4404-A5D3-9C710E36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74e52-78a0-4a02-bd32-1bb86a09306e"/>
    <ds:schemaRef ds:uri="fa085924-4f6f-429d-a89c-d8bd92ee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FFAE4-D09D-4FF5-8FC3-953D5FEDE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8</Pages>
  <Words>1316</Words>
  <Characters>6778</Characters>
  <Application>Microsoft Office Word</Application>
  <DocSecurity>0</DocSecurity>
  <Lines>282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Links>
    <vt:vector size="36" baseType="variant">
      <vt:variant>
        <vt:i4>6160466</vt:i4>
      </vt:variant>
      <vt:variant>
        <vt:i4>15</vt:i4>
      </vt:variant>
      <vt:variant>
        <vt:i4>0</vt:i4>
      </vt:variant>
      <vt:variant>
        <vt:i4>5</vt:i4>
      </vt:variant>
      <vt:variant>
        <vt:lpwstr>https://pathfinder.kiwi/media/documents/Pathfinder_SIPO_202405.pdf</vt:lpwstr>
      </vt:variant>
      <vt:variant>
        <vt:lpwstr/>
      </vt:variant>
      <vt:variant>
        <vt:i4>3538997</vt:i4>
      </vt:variant>
      <vt:variant>
        <vt:i4>12</vt:i4>
      </vt:variant>
      <vt:variant>
        <vt:i4>0</vt:i4>
      </vt:variant>
      <vt:variant>
        <vt:i4>5</vt:i4>
      </vt:variant>
      <vt:variant>
        <vt:lpwstr>https://disclose-register.companiesoffice.govt.nz/</vt:lpwstr>
      </vt:variant>
      <vt:variant>
        <vt:lpwstr/>
      </vt:variant>
      <vt:variant>
        <vt:i4>7929970</vt:i4>
      </vt:variant>
      <vt:variant>
        <vt:i4>9</vt:i4>
      </vt:variant>
      <vt:variant>
        <vt:i4>0</vt:i4>
      </vt:variant>
      <vt:variant>
        <vt:i4>5</vt:i4>
      </vt:variant>
      <vt:variant>
        <vt:lpwstr>http://www.pathfinder.kiwi/documents-and-forms/</vt:lpwstr>
      </vt:variant>
      <vt:variant>
        <vt:lpwstr/>
      </vt:variant>
      <vt:variant>
        <vt:i4>3538997</vt:i4>
      </vt:variant>
      <vt:variant>
        <vt:i4>6</vt:i4>
      </vt:variant>
      <vt:variant>
        <vt:i4>0</vt:i4>
      </vt:variant>
      <vt:variant>
        <vt:i4>5</vt:i4>
      </vt:variant>
      <vt:variant>
        <vt:lpwstr>https://disclose-register.companiesoffice.govt.nz/</vt:lpwstr>
      </vt:variant>
      <vt:variant>
        <vt:lpwstr/>
      </vt:variant>
      <vt:variant>
        <vt:i4>7929970</vt:i4>
      </vt:variant>
      <vt:variant>
        <vt:i4>3</vt:i4>
      </vt:variant>
      <vt:variant>
        <vt:i4>0</vt:i4>
      </vt:variant>
      <vt:variant>
        <vt:i4>5</vt:i4>
      </vt:variant>
      <vt:variant>
        <vt:lpwstr>http://www.pathfinder.kiwi/documents-and-forms/</vt:lpwstr>
      </vt:variant>
      <vt:variant>
        <vt:lpwstr/>
      </vt:variant>
      <vt:variant>
        <vt:i4>6291497</vt:i4>
      </vt:variant>
      <vt:variant>
        <vt:i4>0</vt:i4>
      </vt:variant>
      <vt:variant>
        <vt:i4>0</vt:i4>
      </vt:variant>
      <vt:variant>
        <vt:i4>5</vt:i4>
      </vt:variant>
      <vt:variant>
        <vt:lpwstr>http://www.sorted.org.nz/tools/investor-kickstarter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Cashmore</dc:creator>
  <cp:keywords/>
  <dc:description/>
  <cp:lastModifiedBy>Lizzy Sun</cp:lastModifiedBy>
  <cp:revision>200</cp:revision>
  <cp:lastPrinted>2025-07-23T07:53:00Z</cp:lastPrinted>
  <dcterms:created xsi:type="dcterms:W3CDTF">2025-02-13T05:28:00Z</dcterms:created>
  <dcterms:modified xsi:type="dcterms:W3CDTF">2026-02-13T10:55:00Z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0x010100AD1D821172C5B744B66CBB541F14C169</vt:lpwstr>
  </property>
  <property fmtid="{D5CDD505-2E9C-101B-9397-08002B2CF9AE}" pid="3" name="MediaServiceImageTags">
    <vt:lpwstr/>
  </property>
  <property fmtid="{D5CDD505-2E9C-101B-9397-08002B2CF9AE}" pid="4" name="GrammarlyDocumentId">
    <vt:lpwstr>370cbcce-9984-4b9f-979c-44bf51d9b5f4</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898491e3-c043-41cd-bc62-558052ce8b8a</vt:lpwstr>
  </property>
  <property fmtid="{D5CDD505-2E9C-101B-9397-08002B2CF9AE}" pid="11" name="xd_Signature">
    <vt:bool>false</vt:bool>
  </property>
  <property fmtid="{D5CDD505-2E9C-101B-9397-08002B2CF9AE}" pid="12" name="docLang">
    <vt:lpwstr>en</vt:lpwstr>
  </property>
</Properties>
</file>