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D030A" w14:textId="4ED194DF" w:rsidR="0006682A" w:rsidRDefault="008C72C1" w:rsidP="008C72C1">
      <w:pPr>
        <w:rPr>
          <w:rFonts w:ascii="Arial" w:eastAsia="TimesNewRomanPSMT-Identity-H" w:hAnsi="Arial" w:cs="TimesNewRomanPSMT-Identity-H"/>
          <w:caps/>
          <w:color w:val="000080"/>
          <w:sz w:val="28"/>
          <w:szCs w:val="20"/>
        </w:rPr>
      </w:pPr>
      <w:r>
        <w:rPr>
          <w:rFonts w:ascii="Arial" w:eastAsia="TimesNewRomanPSMT-Identity-H" w:hAnsi="Arial" w:cs="TimesNewRomanPSMT-Identity-H"/>
          <w:caps/>
          <w:color w:val="000080"/>
          <w:sz w:val="28"/>
          <w:szCs w:val="20"/>
        </w:rPr>
        <w:t>GEneral finance limited</w:t>
      </w:r>
    </w:p>
    <w:p w14:paraId="6C9A71E5" w14:textId="5E50BB99" w:rsidR="008C72C1" w:rsidRPr="008C72C1" w:rsidRDefault="000362F2" w:rsidP="008C72C1">
      <w:pPr>
        <w:rPr>
          <w:rFonts w:ascii="Arial" w:eastAsia="TimesNewRomanPSMT-Identity-H" w:hAnsi="Arial" w:cs="TimesNewRomanPSMT-Identity-H"/>
          <w:color w:val="000080"/>
          <w:sz w:val="28"/>
          <w:szCs w:val="20"/>
        </w:rPr>
      </w:pPr>
      <w:r>
        <w:rPr>
          <w:rFonts w:ascii="Arial" w:eastAsia="TimesNewRomanPSMT-Identity-H" w:hAnsi="Arial" w:cs="TimesNewRomanPSMT-Identity-H"/>
          <w:color w:val="000080"/>
          <w:sz w:val="28"/>
          <w:szCs w:val="20"/>
        </w:rPr>
        <w:t>Key ratios and selected financial information</w:t>
      </w:r>
      <w:r w:rsidR="00947B32">
        <w:rPr>
          <w:rFonts w:ascii="Arial" w:eastAsia="TimesNewRomanPSMT-Identity-H" w:hAnsi="Arial" w:cs="TimesNewRomanPSMT-Identity-H"/>
          <w:color w:val="000080"/>
          <w:sz w:val="28"/>
          <w:szCs w:val="20"/>
        </w:rPr>
        <w:t xml:space="preserve"> </w:t>
      </w:r>
      <w:r w:rsidR="008C72C1" w:rsidRPr="008C72C1">
        <w:rPr>
          <w:rFonts w:ascii="Arial" w:eastAsia="TimesNewRomanPSMT-Identity-H" w:hAnsi="Arial" w:cs="TimesNewRomanPSMT-Identity-H"/>
          <w:color w:val="000080"/>
          <w:sz w:val="28"/>
          <w:szCs w:val="20"/>
        </w:rPr>
        <w:t xml:space="preserve">as </w:t>
      </w:r>
      <w:proofErr w:type="gramStart"/>
      <w:r w:rsidR="008C72C1" w:rsidRPr="008C72C1">
        <w:rPr>
          <w:rFonts w:ascii="Arial" w:eastAsia="TimesNewRomanPSMT-Identity-H" w:hAnsi="Arial" w:cs="TimesNewRomanPSMT-Identity-H"/>
          <w:color w:val="000080"/>
          <w:sz w:val="28"/>
          <w:szCs w:val="20"/>
        </w:rPr>
        <w:t>at</w:t>
      </w:r>
      <w:proofErr w:type="gramEnd"/>
      <w:r w:rsidR="008C72C1" w:rsidRPr="008C72C1">
        <w:rPr>
          <w:rFonts w:ascii="Arial" w:eastAsia="TimesNewRomanPSMT-Identity-H" w:hAnsi="Arial" w:cs="TimesNewRomanPSMT-Identity-H"/>
          <w:color w:val="000080"/>
          <w:sz w:val="28"/>
          <w:szCs w:val="20"/>
        </w:rPr>
        <w:t xml:space="preserve"> 31 March 20</w:t>
      </w:r>
      <w:r w:rsidR="007B0138">
        <w:rPr>
          <w:rFonts w:ascii="Arial" w:eastAsia="TimesNewRomanPSMT-Identity-H" w:hAnsi="Arial" w:cs="TimesNewRomanPSMT-Identity-H"/>
          <w:color w:val="000080"/>
          <w:sz w:val="28"/>
          <w:szCs w:val="20"/>
        </w:rPr>
        <w:t>2</w:t>
      </w:r>
      <w:r w:rsidR="008A279B">
        <w:rPr>
          <w:rFonts w:ascii="Arial" w:eastAsia="TimesNewRomanPSMT-Identity-H" w:hAnsi="Arial" w:cs="TimesNewRomanPSMT-Identity-H"/>
          <w:color w:val="000080"/>
          <w:sz w:val="28"/>
          <w:szCs w:val="20"/>
        </w:rPr>
        <w:t>3</w:t>
      </w:r>
    </w:p>
    <w:p w14:paraId="7C10412B" w14:textId="77777777" w:rsidR="008C72C1" w:rsidRDefault="008C72C1" w:rsidP="00C91C90">
      <w:pPr>
        <w:autoSpaceDE w:val="0"/>
        <w:autoSpaceDN w:val="0"/>
        <w:adjustRightInd w:val="0"/>
        <w:rPr>
          <w:rFonts w:ascii="Arial" w:eastAsia="TimesNewRomanPSMT-Identity-H" w:hAnsi="Arial" w:cs="TimesNewRomanPSMT-Identity-H"/>
          <w:b/>
          <w:caps/>
          <w:color w:val="000080"/>
          <w:sz w:val="20"/>
          <w:szCs w:val="20"/>
        </w:rPr>
      </w:pPr>
    </w:p>
    <w:p w14:paraId="16A10CE1" w14:textId="77777777" w:rsidR="008C72C1" w:rsidRPr="00C91C90" w:rsidRDefault="008C72C1" w:rsidP="00C91C90">
      <w:pPr>
        <w:autoSpaceDE w:val="0"/>
        <w:autoSpaceDN w:val="0"/>
        <w:adjustRightInd w:val="0"/>
        <w:rPr>
          <w:rFonts w:ascii="Arial" w:eastAsia="TimesNewRomanPSMT-Identity-H" w:hAnsi="Arial" w:cs="TimesNewRomanPSMT-Identity-H"/>
          <w:b/>
          <w:caps/>
          <w:color w:val="000080"/>
          <w:sz w:val="20"/>
          <w:szCs w:val="20"/>
        </w:rPr>
      </w:pPr>
    </w:p>
    <w:p w14:paraId="3B77C9C3" w14:textId="77777777" w:rsidR="0006682A" w:rsidRDefault="0006682A" w:rsidP="00C91C90">
      <w:pPr>
        <w:autoSpaceDE w:val="0"/>
        <w:autoSpaceDN w:val="0"/>
        <w:adjustRightInd w:val="0"/>
        <w:rPr>
          <w:rFonts w:ascii="Arial" w:eastAsia="TimesNewRomanPSMT-Identity-H" w:hAnsi="Arial" w:cs="TimesNewRomanPSMT-Identity-H"/>
          <w:b/>
          <w:caps/>
          <w:color w:val="000080"/>
          <w:sz w:val="20"/>
          <w:szCs w:val="20"/>
        </w:rPr>
      </w:pPr>
      <w:r w:rsidRPr="00C91C90">
        <w:rPr>
          <w:rFonts w:ascii="Arial" w:eastAsia="TimesNewRomanPSMT-Identity-H" w:hAnsi="Arial" w:cs="TimesNewRomanPSMT-Identity-H"/>
          <w:b/>
          <w:caps/>
          <w:color w:val="000080"/>
          <w:sz w:val="20"/>
          <w:szCs w:val="20"/>
        </w:rPr>
        <w:t>Key ratios</w:t>
      </w:r>
    </w:p>
    <w:p w14:paraId="7D841640" w14:textId="77777777" w:rsidR="004D478F" w:rsidRDefault="004D478F" w:rsidP="00C91C90">
      <w:pPr>
        <w:autoSpaceDE w:val="0"/>
        <w:autoSpaceDN w:val="0"/>
        <w:adjustRightInd w:val="0"/>
        <w:rPr>
          <w:rFonts w:ascii="Arial" w:eastAsia="TimesNewRomanPSMT-Identity-H" w:hAnsi="Arial" w:cs="TimesNewRomanPSMT-Identity-H"/>
          <w:b/>
          <w:caps/>
          <w:color w:val="000080"/>
          <w:sz w:val="20"/>
          <w:szCs w:val="20"/>
        </w:rPr>
      </w:pPr>
    </w:p>
    <w:p w14:paraId="4F56A257" w14:textId="3D45F7F1" w:rsidR="004D478F" w:rsidRPr="004D478F" w:rsidRDefault="004D478F" w:rsidP="00C91C90">
      <w:pPr>
        <w:autoSpaceDE w:val="0"/>
        <w:autoSpaceDN w:val="0"/>
        <w:adjustRightInd w:val="0"/>
        <w:rPr>
          <w:rFonts w:ascii="Helvetica" w:eastAsia="TimesNewRomanPSMT-Identity-H" w:hAnsi="Helvetica" w:cs="TimesNewRomanPSMT-Identity-H"/>
          <w:b/>
          <w:color w:val="000000"/>
          <w:sz w:val="20"/>
          <w:szCs w:val="20"/>
        </w:rPr>
      </w:pPr>
      <w:r w:rsidRPr="004D478F">
        <w:rPr>
          <w:rFonts w:ascii="Helvetica" w:eastAsia="TimesNewRomanPSMT-Identity-H" w:hAnsi="Helvetica" w:cs="TimesNewRomanPSMT-Identity-H"/>
          <w:b/>
          <w:color w:val="000000"/>
          <w:sz w:val="20"/>
          <w:szCs w:val="20"/>
        </w:rPr>
        <w:t>Capital</w:t>
      </w:r>
      <w:r w:rsidR="007D31AB">
        <w:rPr>
          <w:rFonts w:ascii="Helvetica" w:eastAsia="TimesNewRomanPSMT-Identity-H" w:hAnsi="Helvetica" w:cs="TimesNewRomanPSMT-Identity-H"/>
          <w:b/>
          <w:color w:val="000000"/>
          <w:sz w:val="20"/>
          <w:szCs w:val="20"/>
        </w:rPr>
        <w:t xml:space="preserve"> Ratio</w:t>
      </w:r>
    </w:p>
    <w:p w14:paraId="499EBEA5" w14:textId="77777777" w:rsidR="0006682A" w:rsidRDefault="0006682A" w:rsidP="0006682A"/>
    <w:tbl>
      <w:tblPr>
        <w:tblW w:w="4939"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115"/>
        <w:gridCol w:w="1701"/>
        <w:gridCol w:w="1701"/>
        <w:gridCol w:w="1679"/>
      </w:tblGrid>
      <w:tr w:rsidR="00543335" w:rsidRPr="001F5F82" w14:paraId="6DD6600E" w14:textId="77777777" w:rsidTr="00543335">
        <w:tc>
          <w:tcPr>
            <w:tcW w:w="1900" w:type="pct"/>
          </w:tcPr>
          <w:p w14:paraId="6A048E04" w14:textId="77777777" w:rsidR="00543335" w:rsidRPr="001F5F82" w:rsidRDefault="00543335" w:rsidP="00543335">
            <w:pPr>
              <w:autoSpaceDE w:val="0"/>
              <w:autoSpaceDN w:val="0"/>
              <w:adjustRightInd w:val="0"/>
              <w:rPr>
                <w:rFonts w:ascii="Arial" w:eastAsia="TimesNewRomanPSMT-Identity-H" w:hAnsi="Arial" w:cs="TimesNewRomanPSMT-Identity-H"/>
                <w:b/>
                <w:sz w:val="20"/>
                <w:szCs w:val="20"/>
              </w:rPr>
            </w:pPr>
          </w:p>
        </w:tc>
        <w:tc>
          <w:tcPr>
            <w:tcW w:w="1038" w:type="pct"/>
          </w:tcPr>
          <w:p w14:paraId="4BC913A2" w14:textId="77777777"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p>
          <w:p w14:paraId="7C030211" w14:textId="68963FE9"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r w:rsidRPr="001F5F82">
              <w:rPr>
                <w:rFonts w:ascii="Arial" w:eastAsia="TimesNewRomanPSMT-Identity-H" w:hAnsi="Arial" w:cs="TimesNewRomanPSMT-Identity-H"/>
                <w:b/>
                <w:sz w:val="20"/>
                <w:szCs w:val="20"/>
              </w:rPr>
              <w:t>31 March 20</w:t>
            </w:r>
            <w:r>
              <w:rPr>
                <w:rFonts w:ascii="Arial" w:eastAsia="TimesNewRomanPSMT-Identity-H" w:hAnsi="Arial" w:cs="TimesNewRomanPSMT-Identity-H"/>
                <w:b/>
                <w:sz w:val="20"/>
                <w:szCs w:val="20"/>
              </w:rPr>
              <w:t>2</w:t>
            </w:r>
            <w:r w:rsidR="000578BD">
              <w:rPr>
                <w:rFonts w:ascii="Arial" w:eastAsia="TimesNewRomanPSMT-Identity-H" w:hAnsi="Arial" w:cs="TimesNewRomanPSMT-Identity-H"/>
                <w:b/>
                <w:sz w:val="20"/>
                <w:szCs w:val="20"/>
              </w:rPr>
              <w:t>3</w:t>
            </w:r>
          </w:p>
          <w:p w14:paraId="1A734CAD" w14:textId="77777777"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p>
        </w:tc>
        <w:tc>
          <w:tcPr>
            <w:tcW w:w="1038" w:type="pct"/>
          </w:tcPr>
          <w:p w14:paraId="1B302372" w14:textId="77777777"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p>
          <w:p w14:paraId="20CC84EA" w14:textId="1FDDBCC5"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r w:rsidRPr="001F5F82">
              <w:rPr>
                <w:rFonts w:ascii="Arial" w:eastAsia="TimesNewRomanPSMT-Identity-H" w:hAnsi="Arial" w:cs="TimesNewRomanPSMT-Identity-H"/>
                <w:b/>
                <w:sz w:val="20"/>
                <w:szCs w:val="20"/>
              </w:rPr>
              <w:t>31 March 20</w:t>
            </w:r>
            <w:r>
              <w:rPr>
                <w:rFonts w:ascii="Arial" w:eastAsia="TimesNewRomanPSMT-Identity-H" w:hAnsi="Arial" w:cs="TimesNewRomanPSMT-Identity-H"/>
                <w:b/>
                <w:sz w:val="20"/>
                <w:szCs w:val="20"/>
              </w:rPr>
              <w:t>2</w:t>
            </w:r>
            <w:r w:rsidR="000578BD">
              <w:rPr>
                <w:rFonts w:ascii="Arial" w:eastAsia="TimesNewRomanPSMT-Identity-H" w:hAnsi="Arial" w:cs="TimesNewRomanPSMT-Identity-H"/>
                <w:b/>
                <w:sz w:val="20"/>
                <w:szCs w:val="20"/>
              </w:rPr>
              <w:t>2</w:t>
            </w:r>
          </w:p>
          <w:p w14:paraId="7AAD1E6A" w14:textId="77777777"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p>
        </w:tc>
        <w:tc>
          <w:tcPr>
            <w:tcW w:w="1024" w:type="pct"/>
          </w:tcPr>
          <w:p w14:paraId="6113B6D5" w14:textId="77777777"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p>
          <w:p w14:paraId="4C5A0190" w14:textId="3E1E21DF"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r w:rsidRPr="001F5F82">
              <w:rPr>
                <w:rFonts w:ascii="Arial" w:eastAsia="TimesNewRomanPSMT-Identity-H" w:hAnsi="Arial" w:cs="TimesNewRomanPSMT-Identity-H"/>
                <w:b/>
                <w:sz w:val="20"/>
                <w:szCs w:val="20"/>
              </w:rPr>
              <w:t>31 March 20</w:t>
            </w:r>
            <w:r>
              <w:rPr>
                <w:rFonts w:ascii="Arial" w:eastAsia="TimesNewRomanPSMT-Identity-H" w:hAnsi="Arial" w:cs="TimesNewRomanPSMT-Identity-H"/>
                <w:b/>
                <w:sz w:val="20"/>
                <w:szCs w:val="20"/>
              </w:rPr>
              <w:t>2</w:t>
            </w:r>
            <w:r w:rsidR="000578BD">
              <w:rPr>
                <w:rFonts w:ascii="Arial" w:eastAsia="TimesNewRomanPSMT-Identity-H" w:hAnsi="Arial" w:cs="TimesNewRomanPSMT-Identity-H"/>
                <w:b/>
                <w:sz w:val="20"/>
                <w:szCs w:val="20"/>
              </w:rPr>
              <w:t>1</w:t>
            </w:r>
          </w:p>
          <w:p w14:paraId="71DE0799" w14:textId="2A63B450"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p>
        </w:tc>
      </w:tr>
      <w:tr w:rsidR="00543335" w:rsidRPr="001F5F82" w14:paraId="22943755" w14:textId="77777777" w:rsidTr="00543335">
        <w:tc>
          <w:tcPr>
            <w:tcW w:w="1900" w:type="pct"/>
            <w:shd w:val="clear" w:color="auto" w:fill="DBE5F1" w:themeFill="accent1" w:themeFillTint="33"/>
            <w:vAlign w:val="center"/>
          </w:tcPr>
          <w:p w14:paraId="542FF371" w14:textId="77777777" w:rsidR="00543335" w:rsidRPr="001F5F82" w:rsidRDefault="00543335" w:rsidP="00543335">
            <w:pPr>
              <w:autoSpaceDE w:val="0"/>
              <w:autoSpaceDN w:val="0"/>
              <w:adjustRightInd w:val="0"/>
              <w:rPr>
                <w:rFonts w:ascii="Arial" w:eastAsia="TimesNewRomanPSMT-Identity-H" w:hAnsi="Arial" w:cs="TimesNewRomanPSMT-Identity-H"/>
                <w:b/>
                <w:sz w:val="20"/>
                <w:szCs w:val="20"/>
              </w:rPr>
            </w:pPr>
          </w:p>
          <w:p w14:paraId="4E9B27B7" w14:textId="03D05940" w:rsidR="00543335" w:rsidRPr="001F5F82" w:rsidRDefault="00543335" w:rsidP="00543335">
            <w:pPr>
              <w:autoSpaceDE w:val="0"/>
              <w:autoSpaceDN w:val="0"/>
              <w:adjustRightInd w:val="0"/>
              <w:rPr>
                <w:rFonts w:ascii="Arial" w:eastAsia="TimesNewRomanPSMT-Identity-H" w:hAnsi="Arial" w:cs="TimesNewRomanPSMT-Identity-H"/>
                <w:b/>
                <w:sz w:val="20"/>
                <w:szCs w:val="20"/>
              </w:rPr>
            </w:pPr>
            <w:r w:rsidRPr="001F5F82">
              <w:rPr>
                <w:rFonts w:ascii="Arial" w:eastAsia="TimesNewRomanPSMT-Identity-H" w:hAnsi="Arial" w:cs="TimesNewRomanPSMT-Identity-H"/>
                <w:b/>
                <w:sz w:val="20"/>
                <w:szCs w:val="20"/>
              </w:rPr>
              <w:t>Our capital ratio calculated in accordance with the 2010 Regulations</w:t>
            </w:r>
            <w:r w:rsidRPr="00A55F81">
              <w:rPr>
                <w:rFonts w:ascii="Arial" w:eastAsia="TimesNewRomanPSMT-Identity-H" w:hAnsi="Arial" w:cs="TimesNewRomanPSMT-Identity-H"/>
                <w:b/>
                <w:sz w:val="20"/>
                <w:szCs w:val="20"/>
                <w:vertAlign w:val="superscript"/>
              </w:rPr>
              <w:t>1</w:t>
            </w:r>
          </w:p>
          <w:p w14:paraId="314F8660" w14:textId="77777777" w:rsidR="00543335" w:rsidRPr="001F5F82" w:rsidRDefault="00543335" w:rsidP="00543335">
            <w:pPr>
              <w:autoSpaceDE w:val="0"/>
              <w:autoSpaceDN w:val="0"/>
              <w:adjustRightInd w:val="0"/>
              <w:rPr>
                <w:rFonts w:ascii="Arial" w:eastAsia="TimesNewRomanPSMT-Identity-H" w:hAnsi="Arial" w:cs="TimesNewRomanPSMT-Identity-H"/>
                <w:b/>
                <w:sz w:val="20"/>
                <w:szCs w:val="20"/>
              </w:rPr>
            </w:pPr>
          </w:p>
        </w:tc>
        <w:tc>
          <w:tcPr>
            <w:tcW w:w="1038" w:type="pct"/>
            <w:shd w:val="clear" w:color="auto" w:fill="DBE5F1" w:themeFill="accent1" w:themeFillTint="33"/>
            <w:vAlign w:val="center"/>
          </w:tcPr>
          <w:p w14:paraId="52E2E41F" w14:textId="2D3F7BC2" w:rsidR="00543335" w:rsidRPr="001F5F82" w:rsidRDefault="009E6EEF" w:rsidP="00543335">
            <w:pPr>
              <w:autoSpaceDE w:val="0"/>
              <w:autoSpaceDN w:val="0"/>
              <w:adjustRightInd w:val="0"/>
              <w:jc w:val="center"/>
              <w:rPr>
                <w:rFonts w:ascii="Arial" w:eastAsia="TimesNewRomanPSMT-Identity-H" w:hAnsi="Arial" w:cs="TimesNewRomanPSMT-Identity-H"/>
                <w:sz w:val="20"/>
                <w:szCs w:val="20"/>
              </w:rPr>
            </w:pPr>
            <w:r>
              <w:rPr>
                <w:rFonts w:ascii="Arial" w:eastAsia="TimesNewRomanPSMT-Identity-H" w:hAnsi="Arial" w:cs="TimesNewRomanPSMT-Identity-H"/>
                <w:sz w:val="20"/>
                <w:szCs w:val="20"/>
              </w:rPr>
              <w:t>22</w:t>
            </w:r>
            <w:r w:rsidR="00543335" w:rsidRPr="006A47F1">
              <w:rPr>
                <w:rFonts w:ascii="Arial" w:eastAsia="TimesNewRomanPSMT-Identity-H" w:hAnsi="Arial" w:cs="TimesNewRomanPSMT-Identity-H"/>
                <w:sz w:val="20"/>
                <w:szCs w:val="20"/>
              </w:rPr>
              <w:t>%</w:t>
            </w:r>
          </w:p>
        </w:tc>
        <w:tc>
          <w:tcPr>
            <w:tcW w:w="1038" w:type="pct"/>
            <w:shd w:val="clear" w:color="auto" w:fill="DBE5F1" w:themeFill="accent1" w:themeFillTint="33"/>
            <w:vAlign w:val="center"/>
          </w:tcPr>
          <w:p w14:paraId="65564B88" w14:textId="36CF2AB3" w:rsidR="00543335" w:rsidRPr="001F5F82" w:rsidRDefault="00543335" w:rsidP="00543335">
            <w:pPr>
              <w:autoSpaceDE w:val="0"/>
              <w:autoSpaceDN w:val="0"/>
              <w:adjustRightInd w:val="0"/>
              <w:jc w:val="center"/>
              <w:rPr>
                <w:rFonts w:ascii="Arial" w:eastAsia="TimesNewRomanPSMT-Identity-H" w:hAnsi="Arial" w:cs="TimesNewRomanPSMT-Identity-H"/>
                <w:sz w:val="20"/>
                <w:szCs w:val="20"/>
              </w:rPr>
            </w:pPr>
            <w:r w:rsidRPr="006A47F1">
              <w:rPr>
                <w:rFonts w:ascii="Arial" w:eastAsia="TimesNewRomanPSMT-Identity-H" w:hAnsi="Arial" w:cs="TimesNewRomanPSMT-Identity-H"/>
                <w:sz w:val="20"/>
                <w:szCs w:val="20"/>
              </w:rPr>
              <w:t>1</w:t>
            </w:r>
            <w:r w:rsidR="00EB3874">
              <w:rPr>
                <w:rFonts w:ascii="Arial" w:eastAsia="TimesNewRomanPSMT-Identity-H" w:hAnsi="Arial" w:cs="TimesNewRomanPSMT-Identity-H"/>
                <w:sz w:val="20"/>
                <w:szCs w:val="20"/>
              </w:rPr>
              <w:t>8</w:t>
            </w:r>
            <w:r w:rsidRPr="006A47F1">
              <w:rPr>
                <w:rFonts w:ascii="Arial" w:eastAsia="TimesNewRomanPSMT-Identity-H" w:hAnsi="Arial" w:cs="TimesNewRomanPSMT-Identity-H"/>
                <w:sz w:val="20"/>
                <w:szCs w:val="20"/>
              </w:rPr>
              <w:t>%</w:t>
            </w:r>
          </w:p>
        </w:tc>
        <w:tc>
          <w:tcPr>
            <w:tcW w:w="1024" w:type="pct"/>
            <w:shd w:val="clear" w:color="auto" w:fill="DBE5F1" w:themeFill="accent1" w:themeFillTint="33"/>
            <w:vAlign w:val="center"/>
          </w:tcPr>
          <w:p w14:paraId="3A9C8B2E" w14:textId="2580B4AF" w:rsidR="00543335" w:rsidRPr="001F5F82" w:rsidRDefault="00EB3874" w:rsidP="00543335">
            <w:pPr>
              <w:autoSpaceDE w:val="0"/>
              <w:autoSpaceDN w:val="0"/>
              <w:adjustRightInd w:val="0"/>
              <w:jc w:val="center"/>
              <w:rPr>
                <w:rFonts w:ascii="Arial" w:eastAsia="TimesNewRomanPSMT-Identity-H" w:hAnsi="Arial" w:cs="TimesNewRomanPSMT-Identity-H"/>
                <w:sz w:val="20"/>
                <w:szCs w:val="20"/>
              </w:rPr>
            </w:pPr>
            <w:r>
              <w:rPr>
                <w:rFonts w:ascii="Arial" w:eastAsia="TimesNewRomanPSMT-Identity-H" w:hAnsi="Arial" w:cs="TimesNewRomanPSMT-Identity-H"/>
                <w:sz w:val="20"/>
                <w:szCs w:val="20"/>
              </w:rPr>
              <w:t>16</w:t>
            </w:r>
            <w:r w:rsidR="00543335">
              <w:rPr>
                <w:rFonts w:ascii="Arial" w:eastAsia="TimesNewRomanPSMT-Identity-H" w:hAnsi="Arial" w:cs="TimesNewRomanPSMT-Identity-H"/>
                <w:sz w:val="20"/>
                <w:szCs w:val="20"/>
              </w:rPr>
              <w:t>%</w:t>
            </w:r>
          </w:p>
        </w:tc>
      </w:tr>
      <w:tr w:rsidR="00543335" w:rsidRPr="001F5F82" w14:paraId="5138CEEB" w14:textId="77777777" w:rsidTr="00543335">
        <w:tc>
          <w:tcPr>
            <w:tcW w:w="1900" w:type="pct"/>
            <w:shd w:val="clear" w:color="auto" w:fill="auto"/>
            <w:vAlign w:val="center"/>
          </w:tcPr>
          <w:p w14:paraId="2B1B86A1" w14:textId="77777777" w:rsidR="00543335" w:rsidRPr="001F5F82" w:rsidRDefault="00543335" w:rsidP="00543335">
            <w:pPr>
              <w:autoSpaceDE w:val="0"/>
              <w:autoSpaceDN w:val="0"/>
              <w:adjustRightInd w:val="0"/>
              <w:rPr>
                <w:rFonts w:ascii="Arial" w:eastAsia="TimesNewRomanPSMT-Identity-H" w:hAnsi="Arial" w:cs="TimesNewRomanPSMT-Identity-H"/>
                <w:sz w:val="20"/>
                <w:szCs w:val="20"/>
              </w:rPr>
            </w:pPr>
          </w:p>
          <w:p w14:paraId="5A08A4A8" w14:textId="1F154EC5" w:rsidR="00543335" w:rsidRPr="001F5F82" w:rsidRDefault="00543335" w:rsidP="00543335">
            <w:pPr>
              <w:autoSpaceDE w:val="0"/>
              <w:autoSpaceDN w:val="0"/>
              <w:adjustRightInd w:val="0"/>
              <w:rPr>
                <w:rFonts w:ascii="Arial" w:eastAsia="TimesNewRomanPSMT-Identity-H" w:hAnsi="Arial" w:cs="TimesNewRomanPSMT-Identity-H"/>
                <w:b/>
                <w:sz w:val="20"/>
                <w:szCs w:val="20"/>
              </w:rPr>
            </w:pPr>
            <w:r w:rsidRPr="001F5F82">
              <w:rPr>
                <w:rFonts w:ascii="Arial" w:eastAsia="TimesNewRomanPSMT-Identity-H" w:hAnsi="Arial" w:cs="TimesNewRomanPSMT-Identity-H"/>
                <w:b/>
                <w:sz w:val="20"/>
                <w:szCs w:val="20"/>
              </w:rPr>
              <w:t>Minimum capital ratio required by our Trust Deed</w:t>
            </w:r>
            <w:r>
              <w:rPr>
                <w:rFonts w:ascii="Arial" w:eastAsia="TimesNewRomanPSMT-Identity-H" w:hAnsi="Arial" w:cs="TimesNewRomanPSMT-Identity-H"/>
                <w:b/>
                <w:sz w:val="20"/>
                <w:szCs w:val="20"/>
              </w:rPr>
              <w:t xml:space="preserve"> if the issuer has a credit rating</w:t>
            </w:r>
          </w:p>
          <w:p w14:paraId="18A19687" w14:textId="77777777" w:rsidR="00543335" w:rsidRPr="001F5F82" w:rsidRDefault="00543335" w:rsidP="00543335">
            <w:pPr>
              <w:autoSpaceDE w:val="0"/>
              <w:autoSpaceDN w:val="0"/>
              <w:adjustRightInd w:val="0"/>
              <w:rPr>
                <w:rFonts w:ascii="Arial" w:eastAsia="TimesNewRomanPSMT-Identity-H" w:hAnsi="Arial" w:cs="TimesNewRomanPSMT-Identity-H"/>
                <w:sz w:val="20"/>
                <w:szCs w:val="20"/>
              </w:rPr>
            </w:pPr>
          </w:p>
        </w:tc>
        <w:tc>
          <w:tcPr>
            <w:tcW w:w="1038" w:type="pct"/>
            <w:vAlign w:val="center"/>
          </w:tcPr>
          <w:p w14:paraId="677ACB4E" w14:textId="67582F58" w:rsidR="00543335" w:rsidRPr="001F5F82" w:rsidRDefault="00543335" w:rsidP="00543335">
            <w:pPr>
              <w:autoSpaceDE w:val="0"/>
              <w:autoSpaceDN w:val="0"/>
              <w:adjustRightInd w:val="0"/>
              <w:jc w:val="center"/>
              <w:rPr>
                <w:rFonts w:ascii="Arial" w:eastAsia="TimesNewRomanPSMT-Identity-H" w:hAnsi="Arial" w:cs="TimesNewRomanPSMT-Identity-H"/>
                <w:sz w:val="20"/>
                <w:szCs w:val="20"/>
              </w:rPr>
            </w:pPr>
            <w:r w:rsidRPr="00E4636E">
              <w:rPr>
                <w:rFonts w:ascii="Arial" w:eastAsia="TimesNewRomanPSMT-Identity-H" w:hAnsi="Arial" w:cs="TimesNewRomanPSMT-Identity-H"/>
                <w:sz w:val="20"/>
                <w:szCs w:val="20"/>
              </w:rPr>
              <w:t>8%</w:t>
            </w:r>
          </w:p>
        </w:tc>
        <w:tc>
          <w:tcPr>
            <w:tcW w:w="1038" w:type="pct"/>
            <w:vAlign w:val="center"/>
          </w:tcPr>
          <w:p w14:paraId="7482AC5A" w14:textId="0D23B746" w:rsidR="00543335" w:rsidRPr="001F5F82" w:rsidRDefault="00543335" w:rsidP="00543335">
            <w:pPr>
              <w:autoSpaceDE w:val="0"/>
              <w:autoSpaceDN w:val="0"/>
              <w:adjustRightInd w:val="0"/>
              <w:jc w:val="center"/>
              <w:rPr>
                <w:rFonts w:ascii="Arial" w:eastAsia="TimesNewRomanPSMT-Identity-H" w:hAnsi="Arial" w:cs="TimesNewRomanPSMT-Identity-H"/>
                <w:sz w:val="20"/>
                <w:szCs w:val="20"/>
              </w:rPr>
            </w:pPr>
            <w:r w:rsidRPr="00E4636E">
              <w:rPr>
                <w:rFonts w:ascii="Arial" w:eastAsia="TimesNewRomanPSMT-Identity-H" w:hAnsi="Arial" w:cs="TimesNewRomanPSMT-Identity-H"/>
                <w:sz w:val="20"/>
                <w:szCs w:val="20"/>
              </w:rPr>
              <w:t>8%</w:t>
            </w:r>
          </w:p>
        </w:tc>
        <w:tc>
          <w:tcPr>
            <w:tcW w:w="1024" w:type="pct"/>
            <w:vAlign w:val="center"/>
          </w:tcPr>
          <w:p w14:paraId="289AAF03" w14:textId="1BB976C4" w:rsidR="00543335" w:rsidRPr="001F5F82" w:rsidRDefault="00543335" w:rsidP="00543335">
            <w:pPr>
              <w:autoSpaceDE w:val="0"/>
              <w:autoSpaceDN w:val="0"/>
              <w:adjustRightInd w:val="0"/>
              <w:jc w:val="center"/>
              <w:rPr>
                <w:rFonts w:ascii="Arial" w:eastAsia="TimesNewRomanPSMT-Identity-H" w:hAnsi="Arial" w:cs="TimesNewRomanPSMT-Identity-H"/>
                <w:sz w:val="20"/>
                <w:szCs w:val="20"/>
              </w:rPr>
            </w:pPr>
            <w:r w:rsidRPr="00E4636E">
              <w:rPr>
                <w:rFonts w:ascii="Arial" w:eastAsia="TimesNewRomanPSMT-Identity-H" w:hAnsi="Arial" w:cs="TimesNewRomanPSMT-Identity-H"/>
                <w:sz w:val="20"/>
                <w:szCs w:val="20"/>
              </w:rPr>
              <w:t>8%</w:t>
            </w:r>
          </w:p>
        </w:tc>
      </w:tr>
      <w:tr w:rsidR="00543335" w:rsidRPr="001F5F82" w14:paraId="7E4E210E" w14:textId="77777777" w:rsidTr="00543335">
        <w:tc>
          <w:tcPr>
            <w:tcW w:w="1900" w:type="pct"/>
            <w:shd w:val="clear" w:color="auto" w:fill="auto"/>
          </w:tcPr>
          <w:p w14:paraId="0B66FC7E" w14:textId="77777777" w:rsidR="00543335" w:rsidRPr="001F5F82" w:rsidRDefault="00543335" w:rsidP="00543335">
            <w:pPr>
              <w:autoSpaceDE w:val="0"/>
              <w:autoSpaceDN w:val="0"/>
              <w:adjustRightInd w:val="0"/>
              <w:rPr>
                <w:rFonts w:ascii="Arial" w:eastAsia="TimesNewRomanPSMT-Identity-H" w:hAnsi="Arial" w:cs="TimesNewRomanPSMT-Identity-H"/>
                <w:b/>
                <w:sz w:val="20"/>
                <w:szCs w:val="20"/>
              </w:rPr>
            </w:pPr>
          </w:p>
          <w:p w14:paraId="08F12F90" w14:textId="05F31F92" w:rsidR="00543335" w:rsidRPr="001F5F82" w:rsidRDefault="00543335" w:rsidP="00543335">
            <w:pPr>
              <w:autoSpaceDE w:val="0"/>
              <w:autoSpaceDN w:val="0"/>
              <w:adjustRightInd w:val="0"/>
              <w:rPr>
                <w:rFonts w:ascii="Arial" w:eastAsia="TimesNewRomanPSMT-Identity-H" w:hAnsi="Arial" w:cs="TimesNewRomanPSMT-Identity-H"/>
                <w:b/>
                <w:sz w:val="20"/>
                <w:szCs w:val="20"/>
              </w:rPr>
            </w:pPr>
            <w:r w:rsidRPr="001F5F82">
              <w:rPr>
                <w:rFonts w:ascii="Arial" w:eastAsia="TimesNewRomanPSMT-Identity-H" w:hAnsi="Arial" w:cs="TimesNewRomanPSMT-Identity-H"/>
                <w:b/>
                <w:sz w:val="20"/>
                <w:szCs w:val="20"/>
              </w:rPr>
              <w:t>Minimum capital ratio that must be included in the trust deed under reg 8(2) of the 2010 Regulations</w:t>
            </w:r>
            <w:r w:rsidRPr="00A55F81">
              <w:rPr>
                <w:rFonts w:ascii="Arial" w:eastAsia="TimesNewRomanPSMT-Identity-H" w:hAnsi="Arial" w:cs="TimesNewRomanPSMT-Identity-H"/>
                <w:b/>
                <w:sz w:val="20"/>
                <w:szCs w:val="20"/>
                <w:vertAlign w:val="superscript"/>
              </w:rPr>
              <w:t>1</w:t>
            </w:r>
            <w:r>
              <w:rPr>
                <w:rFonts w:ascii="Arial" w:eastAsia="TimesNewRomanPSMT-Identity-H" w:hAnsi="Arial" w:cs="TimesNewRomanPSMT-Identity-H"/>
                <w:b/>
                <w:sz w:val="20"/>
                <w:szCs w:val="20"/>
              </w:rPr>
              <w:t xml:space="preserve"> if the issuer has a credit rating</w:t>
            </w:r>
          </w:p>
          <w:p w14:paraId="27BA6D39" w14:textId="77777777" w:rsidR="00543335" w:rsidRPr="001F5F82" w:rsidRDefault="00543335" w:rsidP="00543335">
            <w:pPr>
              <w:autoSpaceDE w:val="0"/>
              <w:autoSpaceDN w:val="0"/>
              <w:adjustRightInd w:val="0"/>
              <w:rPr>
                <w:rFonts w:ascii="Arial" w:eastAsia="TimesNewRomanPSMT-Identity-H" w:hAnsi="Arial" w:cs="TimesNewRomanPSMT-Identity-H"/>
                <w:sz w:val="20"/>
                <w:szCs w:val="20"/>
              </w:rPr>
            </w:pPr>
          </w:p>
        </w:tc>
        <w:tc>
          <w:tcPr>
            <w:tcW w:w="1038" w:type="pct"/>
            <w:vAlign w:val="center"/>
          </w:tcPr>
          <w:p w14:paraId="35FCE93E" w14:textId="6F4B8C34" w:rsidR="00543335" w:rsidRPr="001F5F82" w:rsidRDefault="00543335" w:rsidP="00543335">
            <w:pPr>
              <w:autoSpaceDE w:val="0"/>
              <w:autoSpaceDN w:val="0"/>
              <w:adjustRightInd w:val="0"/>
              <w:jc w:val="center"/>
              <w:rPr>
                <w:rFonts w:ascii="Arial" w:eastAsia="TimesNewRomanPSMT-Identity-H" w:hAnsi="Arial" w:cs="TimesNewRomanPSMT-Identity-H"/>
                <w:sz w:val="20"/>
                <w:szCs w:val="20"/>
              </w:rPr>
            </w:pPr>
            <w:r w:rsidRPr="001F5F82">
              <w:rPr>
                <w:rFonts w:ascii="Arial" w:eastAsia="TimesNewRomanPSMT-Identity-H" w:hAnsi="Arial" w:cs="TimesNewRomanPSMT-Identity-H"/>
                <w:sz w:val="20"/>
                <w:szCs w:val="20"/>
              </w:rPr>
              <w:t>8%</w:t>
            </w:r>
          </w:p>
          <w:p w14:paraId="428CB894" w14:textId="0CE638B3" w:rsidR="00543335" w:rsidRPr="001F5F82" w:rsidRDefault="00543335" w:rsidP="00543335">
            <w:pPr>
              <w:autoSpaceDE w:val="0"/>
              <w:autoSpaceDN w:val="0"/>
              <w:adjustRightInd w:val="0"/>
              <w:jc w:val="center"/>
              <w:rPr>
                <w:rFonts w:ascii="Arial" w:eastAsia="TimesNewRomanPSMT-Identity-H" w:hAnsi="Arial" w:cs="TimesNewRomanPSMT-Identity-H"/>
                <w:sz w:val="20"/>
                <w:szCs w:val="20"/>
              </w:rPr>
            </w:pPr>
          </w:p>
        </w:tc>
        <w:tc>
          <w:tcPr>
            <w:tcW w:w="1038" w:type="pct"/>
            <w:vAlign w:val="center"/>
          </w:tcPr>
          <w:p w14:paraId="350E0390" w14:textId="77777777" w:rsidR="00543335" w:rsidRPr="001F5F82" w:rsidRDefault="00543335" w:rsidP="00543335">
            <w:pPr>
              <w:autoSpaceDE w:val="0"/>
              <w:autoSpaceDN w:val="0"/>
              <w:adjustRightInd w:val="0"/>
              <w:jc w:val="center"/>
              <w:rPr>
                <w:rFonts w:ascii="Arial" w:eastAsia="TimesNewRomanPSMT-Identity-H" w:hAnsi="Arial" w:cs="TimesNewRomanPSMT-Identity-H"/>
                <w:sz w:val="20"/>
                <w:szCs w:val="20"/>
              </w:rPr>
            </w:pPr>
            <w:r w:rsidRPr="001F5F82">
              <w:rPr>
                <w:rFonts w:ascii="Arial" w:eastAsia="TimesNewRomanPSMT-Identity-H" w:hAnsi="Arial" w:cs="TimesNewRomanPSMT-Identity-H"/>
                <w:sz w:val="20"/>
                <w:szCs w:val="20"/>
              </w:rPr>
              <w:t>8%</w:t>
            </w:r>
          </w:p>
          <w:p w14:paraId="16CEA863" w14:textId="25149108" w:rsidR="00543335" w:rsidRPr="001F5F82" w:rsidRDefault="00543335" w:rsidP="00543335">
            <w:pPr>
              <w:autoSpaceDE w:val="0"/>
              <w:autoSpaceDN w:val="0"/>
              <w:adjustRightInd w:val="0"/>
              <w:jc w:val="center"/>
              <w:rPr>
                <w:rFonts w:ascii="Arial" w:eastAsia="TimesNewRomanPSMT-Identity-H" w:hAnsi="Arial" w:cs="TimesNewRomanPSMT-Identity-H"/>
                <w:sz w:val="20"/>
                <w:szCs w:val="20"/>
              </w:rPr>
            </w:pPr>
          </w:p>
        </w:tc>
        <w:tc>
          <w:tcPr>
            <w:tcW w:w="1024" w:type="pct"/>
            <w:vAlign w:val="center"/>
          </w:tcPr>
          <w:p w14:paraId="75AB744A" w14:textId="77777777" w:rsidR="00543335" w:rsidRPr="001F5F82" w:rsidRDefault="00543335" w:rsidP="00543335">
            <w:pPr>
              <w:autoSpaceDE w:val="0"/>
              <w:autoSpaceDN w:val="0"/>
              <w:adjustRightInd w:val="0"/>
              <w:jc w:val="center"/>
              <w:rPr>
                <w:rFonts w:ascii="Arial" w:eastAsia="TimesNewRomanPSMT-Identity-H" w:hAnsi="Arial" w:cs="TimesNewRomanPSMT-Identity-H"/>
                <w:sz w:val="20"/>
                <w:szCs w:val="20"/>
              </w:rPr>
            </w:pPr>
            <w:r w:rsidRPr="001F5F82">
              <w:rPr>
                <w:rFonts w:ascii="Arial" w:eastAsia="TimesNewRomanPSMT-Identity-H" w:hAnsi="Arial" w:cs="TimesNewRomanPSMT-Identity-H"/>
                <w:sz w:val="20"/>
                <w:szCs w:val="20"/>
              </w:rPr>
              <w:t>8%</w:t>
            </w:r>
          </w:p>
          <w:p w14:paraId="5FACABF8" w14:textId="22842498" w:rsidR="00543335" w:rsidRPr="001F5F82" w:rsidRDefault="00543335" w:rsidP="00543335">
            <w:pPr>
              <w:autoSpaceDE w:val="0"/>
              <w:autoSpaceDN w:val="0"/>
              <w:adjustRightInd w:val="0"/>
              <w:jc w:val="center"/>
              <w:rPr>
                <w:rFonts w:ascii="Arial" w:eastAsia="TimesNewRomanPSMT-Identity-H" w:hAnsi="Arial" w:cs="TimesNewRomanPSMT-Identity-H"/>
                <w:sz w:val="20"/>
                <w:szCs w:val="20"/>
              </w:rPr>
            </w:pPr>
          </w:p>
        </w:tc>
      </w:tr>
      <w:tr w:rsidR="00B20D3F" w:rsidRPr="001F5F82" w14:paraId="341E5E7C" w14:textId="77777777" w:rsidTr="001F5F82">
        <w:tc>
          <w:tcPr>
            <w:tcW w:w="5000" w:type="pct"/>
            <w:gridSpan w:val="4"/>
          </w:tcPr>
          <w:p w14:paraId="16571FBB" w14:textId="77777777" w:rsidR="00B20D3F" w:rsidRPr="001F5F82" w:rsidRDefault="00B20D3F" w:rsidP="001F5F82">
            <w:pPr>
              <w:autoSpaceDE w:val="0"/>
              <w:autoSpaceDN w:val="0"/>
              <w:adjustRightInd w:val="0"/>
              <w:jc w:val="center"/>
              <w:rPr>
                <w:rFonts w:ascii="Arial" w:eastAsia="TimesNewRomanPSMT-Identity-H" w:hAnsi="Arial" w:cs="TimesNewRomanPSMT-Identity-H"/>
                <w:sz w:val="16"/>
                <w:szCs w:val="16"/>
              </w:rPr>
            </w:pPr>
          </w:p>
          <w:p w14:paraId="27691656" w14:textId="77777777" w:rsidR="00B20D3F" w:rsidRPr="001F5F82" w:rsidRDefault="00B20D3F" w:rsidP="001F5F82">
            <w:pPr>
              <w:autoSpaceDE w:val="0"/>
              <w:autoSpaceDN w:val="0"/>
              <w:adjustRightInd w:val="0"/>
              <w:rPr>
                <w:rFonts w:ascii="Arial" w:eastAsia="TimesNewRomanPSMT-Identity-H" w:hAnsi="Arial" w:cs="TimesNewRomanPSMT-Identity-H"/>
                <w:sz w:val="16"/>
                <w:szCs w:val="16"/>
              </w:rPr>
            </w:pPr>
            <w:r w:rsidRPr="001F5F82">
              <w:rPr>
                <w:rFonts w:ascii="Arial" w:eastAsia="TimesNewRomanPSMT-Identity-H" w:hAnsi="Arial" w:cs="TimesNewRomanPSMT-Identity-H"/>
                <w:sz w:val="16"/>
                <w:szCs w:val="16"/>
              </w:rPr>
              <w:t xml:space="preserve">The capital ratio is a measure of the extent to which General Finance </w:t>
            </w:r>
            <w:proofErr w:type="gramStart"/>
            <w:r w:rsidRPr="001F5F82">
              <w:rPr>
                <w:rFonts w:ascii="Arial" w:eastAsia="TimesNewRomanPSMT-Identity-H" w:hAnsi="Arial" w:cs="TimesNewRomanPSMT-Identity-H"/>
                <w:sz w:val="16"/>
                <w:szCs w:val="16"/>
              </w:rPr>
              <w:t>is able to</w:t>
            </w:r>
            <w:proofErr w:type="gramEnd"/>
            <w:r w:rsidRPr="001F5F82">
              <w:rPr>
                <w:rFonts w:ascii="Arial" w:eastAsia="TimesNewRomanPSMT-Identity-H" w:hAnsi="Arial" w:cs="TimesNewRomanPSMT-Identity-H"/>
                <w:sz w:val="16"/>
                <w:szCs w:val="16"/>
              </w:rPr>
              <w:t xml:space="preserve"> absorb losses without becoming insolvent. The lower the capital ratio, the fewer financial assets General Finance </w:t>
            </w:r>
            <w:proofErr w:type="gramStart"/>
            <w:r w:rsidRPr="001F5F82">
              <w:rPr>
                <w:rFonts w:ascii="Arial" w:eastAsia="TimesNewRomanPSMT-Identity-H" w:hAnsi="Arial" w:cs="TimesNewRomanPSMT-Identity-H"/>
                <w:sz w:val="16"/>
                <w:szCs w:val="16"/>
              </w:rPr>
              <w:t>has to</w:t>
            </w:r>
            <w:proofErr w:type="gramEnd"/>
            <w:r w:rsidRPr="001F5F82">
              <w:rPr>
                <w:rFonts w:ascii="Arial" w:eastAsia="TimesNewRomanPSMT-Identity-H" w:hAnsi="Arial" w:cs="TimesNewRomanPSMT-Identity-H"/>
                <w:sz w:val="16"/>
                <w:szCs w:val="16"/>
              </w:rPr>
              <w:t xml:space="preserve"> absorb unexpected losses arising out of its business activities.</w:t>
            </w:r>
          </w:p>
          <w:p w14:paraId="058AAD13" w14:textId="77777777" w:rsidR="00B20D3F" w:rsidRPr="001F5F82" w:rsidRDefault="00B20D3F" w:rsidP="001F5F82">
            <w:pPr>
              <w:autoSpaceDE w:val="0"/>
              <w:autoSpaceDN w:val="0"/>
              <w:adjustRightInd w:val="0"/>
              <w:jc w:val="center"/>
              <w:rPr>
                <w:rFonts w:ascii="Arial" w:eastAsia="TimesNewRomanPSMT-Identity-H" w:hAnsi="Arial" w:cs="TimesNewRomanPSMT-Identity-H"/>
                <w:sz w:val="16"/>
                <w:szCs w:val="16"/>
              </w:rPr>
            </w:pPr>
          </w:p>
        </w:tc>
      </w:tr>
    </w:tbl>
    <w:p w14:paraId="199BB518" w14:textId="3C3873C9" w:rsidR="004D478F" w:rsidRDefault="004D478F" w:rsidP="0006682A">
      <w:pPr>
        <w:autoSpaceDE w:val="0"/>
        <w:autoSpaceDN w:val="0"/>
        <w:adjustRightInd w:val="0"/>
        <w:rPr>
          <w:rFonts w:ascii="Arial" w:eastAsia="TimesNewRomanPSMT-Identity-H" w:hAnsi="Arial" w:cs="TimesNewRomanPSMT-Identity-H"/>
          <w:sz w:val="16"/>
          <w:szCs w:val="16"/>
        </w:rPr>
      </w:pPr>
    </w:p>
    <w:p w14:paraId="5CBEBD16" w14:textId="1C68D162" w:rsidR="007C7B00" w:rsidRDefault="007C7B00" w:rsidP="0006682A">
      <w:pPr>
        <w:autoSpaceDE w:val="0"/>
        <w:autoSpaceDN w:val="0"/>
        <w:adjustRightInd w:val="0"/>
        <w:rPr>
          <w:rFonts w:ascii="Arial" w:eastAsia="TimesNewRomanPSMT-Identity-H" w:hAnsi="Arial" w:cs="TimesNewRomanPSMT-Identity-H"/>
          <w:sz w:val="16"/>
          <w:szCs w:val="16"/>
        </w:rPr>
      </w:pPr>
    </w:p>
    <w:p w14:paraId="7C354EA6" w14:textId="24174366" w:rsidR="007C7B00" w:rsidRDefault="007C7B00" w:rsidP="0006682A">
      <w:pPr>
        <w:autoSpaceDE w:val="0"/>
        <w:autoSpaceDN w:val="0"/>
        <w:adjustRightInd w:val="0"/>
        <w:rPr>
          <w:rFonts w:ascii="Arial" w:eastAsia="TimesNewRomanPSMT-Identity-H" w:hAnsi="Arial" w:cs="TimesNewRomanPSMT-Identity-H"/>
          <w:sz w:val="16"/>
          <w:szCs w:val="16"/>
        </w:rPr>
      </w:pPr>
    </w:p>
    <w:p w14:paraId="2B8154BB" w14:textId="1B9C5803" w:rsidR="007C7B00" w:rsidRDefault="007C7B00" w:rsidP="0006682A">
      <w:pPr>
        <w:autoSpaceDE w:val="0"/>
        <w:autoSpaceDN w:val="0"/>
        <w:adjustRightInd w:val="0"/>
        <w:rPr>
          <w:rFonts w:ascii="Arial" w:eastAsia="TimesNewRomanPSMT-Identity-H" w:hAnsi="Arial" w:cs="TimesNewRomanPSMT-Identity-H"/>
          <w:sz w:val="16"/>
          <w:szCs w:val="16"/>
        </w:rPr>
      </w:pPr>
    </w:p>
    <w:p w14:paraId="57E928E8" w14:textId="26D32081" w:rsidR="007C7B00" w:rsidRDefault="007C7B00" w:rsidP="0006682A">
      <w:pPr>
        <w:autoSpaceDE w:val="0"/>
        <w:autoSpaceDN w:val="0"/>
        <w:adjustRightInd w:val="0"/>
        <w:rPr>
          <w:rFonts w:ascii="Arial" w:eastAsia="TimesNewRomanPSMT-Identity-H" w:hAnsi="Arial" w:cs="TimesNewRomanPSMT-Identity-H"/>
          <w:sz w:val="16"/>
          <w:szCs w:val="16"/>
        </w:rPr>
      </w:pPr>
    </w:p>
    <w:p w14:paraId="0C92AEA3" w14:textId="72425869" w:rsidR="007C7B00" w:rsidRDefault="007C7B00" w:rsidP="0006682A">
      <w:pPr>
        <w:autoSpaceDE w:val="0"/>
        <w:autoSpaceDN w:val="0"/>
        <w:adjustRightInd w:val="0"/>
        <w:rPr>
          <w:rFonts w:ascii="Arial" w:eastAsia="TimesNewRomanPSMT-Identity-H" w:hAnsi="Arial" w:cs="TimesNewRomanPSMT-Identity-H"/>
          <w:sz w:val="16"/>
          <w:szCs w:val="16"/>
        </w:rPr>
      </w:pPr>
    </w:p>
    <w:p w14:paraId="7646B2FF" w14:textId="114DCE69" w:rsidR="007C7B00" w:rsidRDefault="007C7B00" w:rsidP="0006682A">
      <w:pPr>
        <w:autoSpaceDE w:val="0"/>
        <w:autoSpaceDN w:val="0"/>
        <w:adjustRightInd w:val="0"/>
        <w:rPr>
          <w:rFonts w:ascii="Arial" w:eastAsia="TimesNewRomanPSMT-Identity-H" w:hAnsi="Arial" w:cs="TimesNewRomanPSMT-Identity-H"/>
          <w:sz w:val="16"/>
          <w:szCs w:val="16"/>
        </w:rPr>
      </w:pPr>
    </w:p>
    <w:p w14:paraId="70F449AA" w14:textId="66BAEF73" w:rsidR="007C7B00" w:rsidRDefault="007C7B00" w:rsidP="0006682A">
      <w:pPr>
        <w:autoSpaceDE w:val="0"/>
        <w:autoSpaceDN w:val="0"/>
        <w:adjustRightInd w:val="0"/>
        <w:rPr>
          <w:rFonts w:ascii="Arial" w:eastAsia="TimesNewRomanPSMT-Identity-H" w:hAnsi="Arial" w:cs="TimesNewRomanPSMT-Identity-H"/>
          <w:sz w:val="16"/>
          <w:szCs w:val="16"/>
        </w:rPr>
      </w:pPr>
    </w:p>
    <w:p w14:paraId="71118C6E" w14:textId="300B52B9" w:rsidR="007C7B00" w:rsidRDefault="007C7B00" w:rsidP="0006682A">
      <w:pPr>
        <w:autoSpaceDE w:val="0"/>
        <w:autoSpaceDN w:val="0"/>
        <w:adjustRightInd w:val="0"/>
        <w:rPr>
          <w:rFonts w:ascii="Arial" w:eastAsia="TimesNewRomanPSMT-Identity-H" w:hAnsi="Arial" w:cs="TimesNewRomanPSMT-Identity-H"/>
          <w:sz w:val="16"/>
          <w:szCs w:val="16"/>
        </w:rPr>
      </w:pPr>
    </w:p>
    <w:p w14:paraId="3D71607E" w14:textId="418FA115" w:rsidR="00C62C60" w:rsidRDefault="00C62C60" w:rsidP="0006682A">
      <w:pPr>
        <w:autoSpaceDE w:val="0"/>
        <w:autoSpaceDN w:val="0"/>
        <w:adjustRightInd w:val="0"/>
        <w:rPr>
          <w:rFonts w:ascii="Arial" w:eastAsia="TimesNewRomanPSMT-Identity-H" w:hAnsi="Arial" w:cs="TimesNewRomanPSMT-Identity-H"/>
          <w:sz w:val="16"/>
          <w:szCs w:val="16"/>
        </w:rPr>
      </w:pPr>
    </w:p>
    <w:p w14:paraId="3E237E44" w14:textId="72AFD629" w:rsidR="00C62C60" w:rsidRDefault="00C62C60" w:rsidP="0006682A">
      <w:pPr>
        <w:autoSpaceDE w:val="0"/>
        <w:autoSpaceDN w:val="0"/>
        <w:adjustRightInd w:val="0"/>
        <w:rPr>
          <w:rFonts w:ascii="Arial" w:eastAsia="TimesNewRomanPSMT-Identity-H" w:hAnsi="Arial" w:cs="TimesNewRomanPSMT-Identity-H"/>
          <w:sz w:val="16"/>
          <w:szCs w:val="16"/>
        </w:rPr>
      </w:pPr>
    </w:p>
    <w:p w14:paraId="5EB7CC78" w14:textId="4C2BEEE3" w:rsidR="00C62C60" w:rsidRDefault="00C62C60" w:rsidP="0006682A">
      <w:pPr>
        <w:autoSpaceDE w:val="0"/>
        <w:autoSpaceDN w:val="0"/>
        <w:adjustRightInd w:val="0"/>
        <w:rPr>
          <w:rFonts w:ascii="Arial" w:eastAsia="TimesNewRomanPSMT-Identity-H" w:hAnsi="Arial" w:cs="TimesNewRomanPSMT-Identity-H"/>
          <w:sz w:val="16"/>
          <w:szCs w:val="16"/>
        </w:rPr>
      </w:pPr>
    </w:p>
    <w:p w14:paraId="4C784565" w14:textId="77777777" w:rsidR="00C62C60" w:rsidRDefault="00C62C60" w:rsidP="0006682A">
      <w:pPr>
        <w:autoSpaceDE w:val="0"/>
        <w:autoSpaceDN w:val="0"/>
        <w:adjustRightInd w:val="0"/>
        <w:rPr>
          <w:rFonts w:ascii="Arial" w:eastAsia="TimesNewRomanPSMT-Identity-H" w:hAnsi="Arial" w:cs="TimesNewRomanPSMT-Identity-H"/>
          <w:sz w:val="16"/>
          <w:szCs w:val="16"/>
        </w:rPr>
      </w:pPr>
    </w:p>
    <w:p w14:paraId="023A8D1E" w14:textId="1B446E4D" w:rsidR="007C7B00" w:rsidRDefault="007C7B00" w:rsidP="0006682A">
      <w:pPr>
        <w:autoSpaceDE w:val="0"/>
        <w:autoSpaceDN w:val="0"/>
        <w:adjustRightInd w:val="0"/>
        <w:rPr>
          <w:rFonts w:ascii="Arial" w:eastAsia="TimesNewRomanPSMT-Identity-H" w:hAnsi="Arial" w:cs="TimesNewRomanPSMT-Identity-H"/>
          <w:sz w:val="16"/>
          <w:szCs w:val="16"/>
        </w:rPr>
      </w:pPr>
    </w:p>
    <w:p w14:paraId="2B482E82" w14:textId="0B2CF3FE" w:rsidR="007C7B00" w:rsidRDefault="007C7B00" w:rsidP="0006682A">
      <w:pPr>
        <w:autoSpaceDE w:val="0"/>
        <w:autoSpaceDN w:val="0"/>
        <w:adjustRightInd w:val="0"/>
        <w:rPr>
          <w:rFonts w:ascii="Arial" w:eastAsia="TimesNewRomanPSMT-Identity-H" w:hAnsi="Arial" w:cs="TimesNewRomanPSMT-Identity-H"/>
          <w:sz w:val="16"/>
          <w:szCs w:val="16"/>
        </w:rPr>
      </w:pPr>
    </w:p>
    <w:p w14:paraId="569904AE" w14:textId="475563E6" w:rsidR="007C7B00" w:rsidRDefault="007C7B00" w:rsidP="0006682A">
      <w:pPr>
        <w:autoSpaceDE w:val="0"/>
        <w:autoSpaceDN w:val="0"/>
        <w:adjustRightInd w:val="0"/>
        <w:rPr>
          <w:rFonts w:ascii="Arial" w:eastAsia="TimesNewRomanPSMT-Identity-H" w:hAnsi="Arial" w:cs="TimesNewRomanPSMT-Identity-H"/>
          <w:sz w:val="16"/>
          <w:szCs w:val="16"/>
        </w:rPr>
      </w:pPr>
    </w:p>
    <w:p w14:paraId="31E63C7B" w14:textId="68AB10ED" w:rsidR="007C7B00" w:rsidRDefault="007C7B00" w:rsidP="0006682A">
      <w:pPr>
        <w:autoSpaceDE w:val="0"/>
        <w:autoSpaceDN w:val="0"/>
        <w:adjustRightInd w:val="0"/>
        <w:rPr>
          <w:rFonts w:ascii="Arial" w:eastAsia="TimesNewRomanPSMT-Identity-H" w:hAnsi="Arial" w:cs="TimesNewRomanPSMT-Identity-H"/>
          <w:sz w:val="16"/>
          <w:szCs w:val="16"/>
        </w:rPr>
      </w:pPr>
    </w:p>
    <w:p w14:paraId="05B53090" w14:textId="1314BD56" w:rsidR="007C7B00" w:rsidRDefault="007C7B00" w:rsidP="0006682A">
      <w:pPr>
        <w:autoSpaceDE w:val="0"/>
        <w:autoSpaceDN w:val="0"/>
        <w:adjustRightInd w:val="0"/>
        <w:rPr>
          <w:rFonts w:ascii="Arial" w:eastAsia="TimesNewRomanPSMT-Identity-H" w:hAnsi="Arial" w:cs="TimesNewRomanPSMT-Identity-H"/>
          <w:sz w:val="16"/>
          <w:szCs w:val="16"/>
        </w:rPr>
      </w:pPr>
    </w:p>
    <w:p w14:paraId="1DB0487D" w14:textId="0ED99863" w:rsidR="007C7B00" w:rsidRDefault="007C7B00" w:rsidP="0006682A">
      <w:pPr>
        <w:autoSpaceDE w:val="0"/>
        <w:autoSpaceDN w:val="0"/>
        <w:adjustRightInd w:val="0"/>
        <w:rPr>
          <w:rFonts w:ascii="Arial" w:eastAsia="TimesNewRomanPSMT-Identity-H" w:hAnsi="Arial" w:cs="TimesNewRomanPSMT-Identity-H"/>
          <w:sz w:val="16"/>
          <w:szCs w:val="16"/>
        </w:rPr>
      </w:pPr>
    </w:p>
    <w:p w14:paraId="4CB7D18D" w14:textId="29362434" w:rsidR="007C7B00" w:rsidRDefault="007C7B00" w:rsidP="0006682A">
      <w:pPr>
        <w:autoSpaceDE w:val="0"/>
        <w:autoSpaceDN w:val="0"/>
        <w:adjustRightInd w:val="0"/>
        <w:rPr>
          <w:rFonts w:ascii="Arial" w:eastAsia="TimesNewRomanPSMT-Identity-H" w:hAnsi="Arial" w:cs="TimesNewRomanPSMT-Identity-H"/>
          <w:sz w:val="16"/>
          <w:szCs w:val="16"/>
        </w:rPr>
      </w:pPr>
    </w:p>
    <w:p w14:paraId="1D17B9EE" w14:textId="3244AD8A" w:rsidR="006A47F1" w:rsidRDefault="006A47F1" w:rsidP="0006682A">
      <w:pPr>
        <w:autoSpaceDE w:val="0"/>
        <w:autoSpaceDN w:val="0"/>
        <w:adjustRightInd w:val="0"/>
        <w:rPr>
          <w:rFonts w:ascii="Arial" w:eastAsia="TimesNewRomanPSMT-Identity-H" w:hAnsi="Arial" w:cs="TimesNewRomanPSMT-Identity-H"/>
          <w:sz w:val="16"/>
          <w:szCs w:val="16"/>
        </w:rPr>
      </w:pPr>
    </w:p>
    <w:p w14:paraId="0FC244F4" w14:textId="2ADBF280" w:rsidR="006A47F1" w:rsidRDefault="006A47F1" w:rsidP="0006682A">
      <w:pPr>
        <w:autoSpaceDE w:val="0"/>
        <w:autoSpaceDN w:val="0"/>
        <w:adjustRightInd w:val="0"/>
        <w:rPr>
          <w:rFonts w:ascii="Arial" w:eastAsia="TimesNewRomanPSMT-Identity-H" w:hAnsi="Arial" w:cs="TimesNewRomanPSMT-Identity-H"/>
          <w:sz w:val="16"/>
          <w:szCs w:val="16"/>
        </w:rPr>
      </w:pPr>
    </w:p>
    <w:p w14:paraId="52F2D245" w14:textId="48797CA1" w:rsidR="006A47F1" w:rsidRDefault="006A47F1" w:rsidP="0006682A">
      <w:pPr>
        <w:autoSpaceDE w:val="0"/>
        <w:autoSpaceDN w:val="0"/>
        <w:adjustRightInd w:val="0"/>
        <w:rPr>
          <w:rFonts w:ascii="Arial" w:eastAsia="TimesNewRomanPSMT-Identity-H" w:hAnsi="Arial" w:cs="TimesNewRomanPSMT-Identity-H"/>
          <w:sz w:val="16"/>
          <w:szCs w:val="16"/>
        </w:rPr>
      </w:pPr>
    </w:p>
    <w:p w14:paraId="77AF04FA" w14:textId="105ED885" w:rsidR="006A47F1" w:rsidRDefault="006A47F1" w:rsidP="0006682A">
      <w:pPr>
        <w:autoSpaceDE w:val="0"/>
        <w:autoSpaceDN w:val="0"/>
        <w:adjustRightInd w:val="0"/>
        <w:rPr>
          <w:rFonts w:ascii="Arial" w:eastAsia="TimesNewRomanPSMT-Identity-H" w:hAnsi="Arial" w:cs="TimesNewRomanPSMT-Identity-H"/>
          <w:sz w:val="16"/>
          <w:szCs w:val="16"/>
        </w:rPr>
      </w:pPr>
    </w:p>
    <w:p w14:paraId="21A516CC" w14:textId="55685797" w:rsidR="006A47F1" w:rsidRDefault="006A47F1" w:rsidP="0006682A">
      <w:pPr>
        <w:autoSpaceDE w:val="0"/>
        <w:autoSpaceDN w:val="0"/>
        <w:adjustRightInd w:val="0"/>
        <w:rPr>
          <w:rFonts w:ascii="Arial" w:eastAsia="TimesNewRomanPSMT-Identity-H" w:hAnsi="Arial" w:cs="TimesNewRomanPSMT-Identity-H"/>
          <w:sz w:val="16"/>
          <w:szCs w:val="16"/>
        </w:rPr>
      </w:pPr>
    </w:p>
    <w:p w14:paraId="1EF520A3" w14:textId="3CF1CC74" w:rsidR="006A47F1" w:rsidRDefault="006A47F1" w:rsidP="0006682A">
      <w:pPr>
        <w:autoSpaceDE w:val="0"/>
        <w:autoSpaceDN w:val="0"/>
        <w:adjustRightInd w:val="0"/>
        <w:rPr>
          <w:rFonts w:ascii="Arial" w:eastAsia="TimesNewRomanPSMT-Identity-H" w:hAnsi="Arial" w:cs="TimesNewRomanPSMT-Identity-H"/>
          <w:sz w:val="16"/>
          <w:szCs w:val="16"/>
        </w:rPr>
      </w:pPr>
    </w:p>
    <w:p w14:paraId="233D63AC" w14:textId="77777777" w:rsidR="006A47F1" w:rsidRDefault="006A47F1" w:rsidP="0006682A">
      <w:pPr>
        <w:autoSpaceDE w:val="0"/>
        <w:autoSpaceDN w:val="0"/>
        <w:adjustRightInd w:val="0"/>
        <w:rPr>
          <w:rFonts w:ascii="Arial" w:eastAsia="TimesNewRomanPSMT-Identity-H" w:hAnsi="Arial" w:cs="TimesNewRomanPSMT-Identity-H"/>
          <w:sz w:val="16"/>
          <w:szCs w:val="16"/>
        </w:rPr>
      </w:pPr>
    </w:p>
    <w:p w14:paraId="615DCA16" w14:textId="661EA666" w:rsidR="007C7B00" w:rsidRDefault="007C7B00" w:rsidP="0006682A">
      <w:pPr>
        <w:autoSpaceDE w:val="0"/>
        <w:autoSpaceDN w:val="0"/>
        <w:adjustRightInd w:val="0"/>
        <w:rPr>
          <w:rFonts w:ascii="Arial" w:eastAsia="TimesNewRomanPSMT-Identity-H" w:hAnsi="Arial" w:cs="TimesNewRomanPSMT-Identity-H"/>
          <w:sz w:val="16"/>
          <w:szCs w:val="16"/>
        </w:rPr>
      </w:pPr>
    </w:p>
    <w:p w14:paraId="1E20C307" w14:textId="77777777" w:rsidR="007C7B00" w:rsidRDefault="007C7B00" w:rsidP="0006682A">
      <w:pPr>
        <w:autoSpaceDE w:val="0"/>
        <w:autoSpaceDN w:val="0"/>
        <w:adjustRightInd w:val="0"/>
        <w:rPr>
          <w:rFonts w:ascii="Arial" w:eastAsia="TimesNewRomanPSMT-Identity-H" w:hAnsi="Arial" w:cs="TimesNewRomanPSMT-Identity-H"/>
          <w:sz w:val="16"/>
          <w:szCs w:val="16"/>
        </w:rPr>
      </w:pPr>
    </w:p>
    <w:p w14:paraId="672FCEE0" w14:textId="77F5DAD6" w:rsidR="0006682A" w:rsidRDefault="00A55F81" w:rsidP="0006682A">
      <w:pPr>
        <w:autoSpaceDE w:val="0"/>
        <w:autoSpaceDN w:val="0"/>
        <w:adjustRightInd w:val="0"/>
        <w:rPr>
          <w:rFonts w:ascii="Arial" w:eastAsia="TimesNewRomanPSMT-Identity-H" w:hAnsi="Arial" w:cs="TimesNewRomanPSMT-Identity-H"/>
          <w:sz w:val="16"/>
          <w:szCs w:val="16"/>
        </w:rPr>
      </w:pPr>
      <w:r w:rsidRPr="00A55F81">
        <w:rPr>
          <w:rFonts w:ascii="Arial" w:eastAsia="TimesNewRomanPSMT-Identity-H" w:hAnsi="Arial" w:cs="TimesNewRomanPSMT-Identity-H"/>
          <w:sz w:val="18"/>
          <w:szCs w:val="18"/>
          <w:vertAlign w:val="superscript"/>
        </w:rPr>
        <w:t>1</w:t>
      </w:r>
      <w:r w:rsidR="0006682A" w:rsidRPr="009F53BE">
        <w:rPr>
          <w:rFonts w:ascii="Arial" w:eastAsia="TimesNewRomanPSMT-Identity-H" w:hAnsi="Arial" w:cs="TimesNewRomanPSMT-Identity-H"/>
          <w:sz w:val="16"/>
          <w:szCs w:val="16"/>
        </w:rPr>
        <w:t>Deposit Takers (Credit Ratings, Capital Ratios, and Related Party Exposures) Regulations 2010</w:t>
      </w:r>
    </w:p>
    <w:p w14:paraId="30204975" w14:textId="77777777" w:rsidR="0006682A" w:rsidRDefault="0006682A" w:rsidP="0006682A">
      <w:pPr>
        <w:rPr>
          <w:rFonts w:ascii="Arial" w:eastAsia="TimesNewRomanPSMT-Identity-H" w:hAnsi="Arial" w:cs="TimesNewRomanPSMT-Identity-H"/>
          <w:b/>
          <w:sz w:val="20"/>
          <w:szCs w:val="20"/>
        </w:rPr>
      </w:pPr>
    </w:p>
    <w:p w14:paraId="0C97DC09" w14:textId="14270311" w:rsidR="004D478F" w:rsidRPr="004D478F" w:rsidRDefault="004D478F" w:rsidP="004D478F">
      <w:pPr>
        <w:autoSpaceDE w:val="0"/>
        <w:autoSpaceDN w:val="0"/>
        <w:adjustRightInd w:val="0"/>
        <w:rPr>
          <w:rFonts w:ascii="Helvetica" w:eastAsia="TimesNewRomanPSMT-Identity-H" w:hAnsi="Helvetica" w:cs="TimesNewRomanPSMT-Identity-H"/>
          <w:b/>
          <w:color w:val="000000"/>
          <w:sz w:val="20"/>
          <w:szCs w:val="20"/>
        </w:rPr>
      </w:pPr>
      <w:r>
        <w:rPr>
          <w:rFonts w:ascii="Helvetica" w:eastAsia="TimesNewRomanPSMT-Identity-H" w:hAnsi="Helvetica" w:cs="TimesNewRomanPSMT-Identity-H"/>
          <w:b/>
          <w:color w:val="000000"/>
          <w:sz w:val="20"/>
          <w:szCs w:val="20"/>
        </w:rPr>
        <w:lastRenderedPageBreak/>
        <w:t>Related Party Exposures</w:t>
      </w:r>
    </w:p>
    <w:p w14:paraId="38E0EFFB" w14:textId="77777777" w:rsidR="0006682A" w:rsidRDefault="0006682A" w:rsidP="0006682A">
      <w:pPr>
        <w:rPr>
          <w:rFonts w:ascii="Arial" w:eastAsia="TimesNewRomanPSMT-Identity-H" w:hAnsi="Arial" w:cs="TimesNewRomanPSMT-Identity-H"/>
          <w:b/>
          <w:sz w:val="20"/>
          <w:szCs w:val="20"/>
        </w:rPr>
      </w:pPr>
    </w:p>
    <w:tbl>
      <w:tblPr>
        <w:tblW w:w="4939"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115"/>
        <w:gridCol w:w="1701"/>
        <w:gridCol w:w="1701"/>
        <w:gridCol w:w="1679"/>
      </w:tblGrid>
      <w:tr w:rsidR="00543335" w:rsidRPr="001F5F82" w14:paraId="003951A7" w14:textId="77777777" w:rsidTr="00543335">
        <w:tc>
          <w:tcPr>
            <w:tcW w:w="1900" w:type="pct"/>
          </w:tcPr>
          <w:p w14:paraId="28633831" w14:textId="77777777" w:rsidR="00543335" w:rsidRPr="001F5F82" w:rsidRDefault="00543335" w:rsidP="00543335">
            <w:pPr>
              <w:autoSpaceDE w:val="0"/>
              <w:autoSpaceDN w:val="0"/>
              <w:adjustRightInd w:val="0"/>
              <w:rPr>
                <w:rFonts w:ascii="Arial" w:eastAsia="TimesNewRomanPSMT-Identity-H" w:hAnsi="Arial" w:cs="TimesNewRomanPSMT-Identity-H"/>
                <w:b/>
                <w:sz w:val="20"/>
                <w:szCs w:val="20"/>
              </w:rPr>
            </w:pPr>
          </w:p>
        </w:tc>
        <w:tc>
          <w:tcPr>
            <w:tcW w:w="1038" w:type="pct"/>
          </w:tcPr>
          <w:p w14:paraId="016F78A3" w14:textId="77777777"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p>
          <w:p w14:paraId="2C73A79C" w14:textId="46398B21"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r w:rsidRPr="001F5F82">
              <w:rPr>
                <w:rFonts w:ascii="Arial" w:eastAsia="TimesNewRomanPSMT-Identity-H" w:hAnsi="Arial" w:cs="TimesNewRomanPSMT-Identity-H"/>
                <w:b/>
                <w:sz w:val="20"/>
                <w:szCs w:val="20"/>
              </w:rPr>
              <w:t>31 March 20</w:t>
            </w:r>
            <w:r>
              <w:rPr>
                <w:rFonts w:ascii="Arial" w:eastAsia="TimesNewRomanPSMT-Identity-H" w:hAnsi="Arial" w:cs="TimesNewRomanPSMT-Identity-H"/>
                <w:b/>
                <w:sz w:val="20"/>
                <w:szCs w:val="20"/>
              </w:rPr>
              <w:t>2</w:t>
            </w:r>
            <w:r w:rsidR="000578BD">
              <w:rPr>
                <w:rFonts w:ascii="Arial" w:eastAsia="TimesNewRomanPSMT-Identity-H" w:hAnsi="Arial" w:cs="TimesNewRomanPSMT-Identity-H"/>
                <w:b/>
                <w:sz w:val="20"/>
                <w:szCs w:val="20"/>
              </w:rPr>
              <w:t>3</w:t>
            </w:r>
          </w:p>
          <w:p w14:paraId="6BF1CD75" w14:textId="77777777"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p>
        </w:tc>
        <w:tc>
          <w:tcPr>
            <w:tcW w:w="1038" w:type="pct"/>
          </w:tcPr>
          <w:p w14:paraId="14C27402" w14:textId="77777777"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p>
          <w:p w14:paraId="02E93764" w14:textId="7ABA69A4"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r w:rsidRPr="001F5F82">
              <w:rPr>
                <w:rFonts w:ascii="Arial" w:eastAsia="TimesNewRomanPSMT-Identity-H" w:hAnsi="Arial" w:cs="TimesNewRomanPSMT-Identity-H"/>
                <w:b/>
                <w:sz w:val="20"/>
                <w:szCs w:val="20"/>
              </w:rPr>
              <w:t>31 March 20</w:t>
            </w:r>
            <w:r>
              <w:rPr>
                <w:rFonts w:ascii="Arial" w:eastAsia="TimesNewRomanPSMT-Identity-H" w:hAnsi="Arial" w:cs="TimesNewRomanPSMT-Identity-H"/>
                <w:b/>
                <w:sz w:val="20"/>
                <w:szCs w:val="20"/>
              </w:rPr>
              <w:t>2</w:t>
            </w:r>
            <w:r w:rsidR="000578BD">
              <w:rPr>
                <w:rFonts w:ascii="Arial" w:eastAsia="TimesNewRomanPSMT-Identity-H" w:hAnsi="Arial" w:cs="TimesNewRomanPSMT-Identity-H"/>
                <w:b/>
                <w:sz w:val="20"/>
                <w:szCs w:val="20"/>
              </w:rPr>
              <w:t>2</w:t>
            </w:r>
          </w:p>
          <w:p w14:paraId="38BA4C18" w14:textId="77777777"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p>
        </w:tc>
        <w:tc>
          <w:tcPr>
            <w:tcW w:w="1024" w:type="pct"/>
          </w:tcPr>
          <w:p w14:paraId="0D8B7DDE" w14:textId="77777777"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p>
          <w:p w14:paraId="3B6859B5" w14:textId="5F0E9C32"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r w:rsidRPr="001F5F82">
              <w:rPr>
                <w:rFonts w:ascii="Arial" w:eastAsia="TimesNewRomanPSMT-Identity-H" w:hAnsi="Arial" w:cs="TimesNewRomanPSMT-Identity-H"/>
                <w:b/>
                <w:sz w:val="20"/>
                <w:szCs w:val="20"/>
              </w:rPr>
              <w:t>31 March 20</w:t>
            </w:r>
            <w:r>
              <w:rPr>
                <w:rFonts w:ascii="Arial" w:eastAsia="TimesNewRomanPSMT-Identity-H" w:hAnsi="Arial" w:cs="TimesNewRomanPSMT-Identity-H"/>
                <w:b/>
                <w:sz w:val="20"/>
                <w:szCs w:val="20"/>
              </w:rPr>
              <w:t>2</w:t>
            </w:r>
            <w:r w:rsidR="000578BD">
              <w:rPr>
                <w:rFonts w:ascii="Arial" w:eastAsia="TimesNewRomanPSMT-Identity-H" w:hAnsi="Arial" w:cs="TimesNewRomanPSMT-Identity-H"/>
                <w:b/>
                <w:sz w:val="20"/>
                <w:szCs w:val="20"/>
              </w:rPr>
              <w:t>1</w:t>
            </w:r>
          </w:p>
          <w:p w14:paraId="290D59C3" w14:textId="47FE9AF5"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p>
        </w:tc>
      </w:tr>
      <w:tr w:rsidR="00543335" w:rsidRPr="001F5F82" w14:paraId="32D861A8" w14:textId="77777777" w:rsidTr="00543335">
        <w:tc>
          <w:tcPr>
            <w:tcW w:w="1900" w:type="pct"/>
            <w:shd w:val="clear" w:color="auto" w:fill="DBE5F1" w:themeFill="accent1" w:themeFillTint="33"/>
          </w:tcPr>
          <w:p w14:paraId="31FE35E8" w14:textId="77777777" w:rsidR="00543335" w:rsidRPr="001F5F82" w:rsidRDefault="00543335" w:rsidP="00543335">
            <w:pPr>
              <w:autoSpaceDE w:val="0"/>
              <w:autoSpaceDN w:val="0"/>
              <w:adjustRightInd w:val="0"/>
              <w:rPr>
                <w:rFonts w:ascii="Arial" w:eastAsia="TimesNewRomanPSMT-Identity-H" w:hAnsi="Arial" w:cs="TimesNewRomanPSMT-Identity-H"/>
                <w:b/>
                <w:sz w:val="20"/>
                <w:szCs w:val="20"/>
              </w:rPr>
            </w:pPr>
          </w:p>
          <w:p w14:paraId="0066CEA4" w14:textId="18EEB557" w:rsidR="00543335" w:rsidRPr="001F5F82" w:rsidRDefault="00543335" w:rsidP="00543335">
            <w:pPr>
              <w:autoSpaceDE w:val="0"/>
              <w:autoSpaceDN w:val="0"/>
              <w:adjustRightInd w:val="0"/>
              <w:rPr>
                <w:rFonts w:ascii="Arial" w:eastAsia="TimesNewRomanPSMT-Identity-H" w:hAnsi="Arial" w:cs="TimesNewRomanPSMT-Identity-H"/>
                <w:b/>
                <w:sz w:val="20"/>
                <w:szCs w:val="20"/>
              </w:rPr>
            </w:pPr>
            <w:r w:rsidRPr="001F5F82">
              <w:rPr>
                <w:rFonts w:ascii="Arial" w:eastAsia="TimesNewRomanPSMT-Identity-H" w:hAnsi="Arial" w:cs="TimesNewRomanPSMT-Identity-H"/>
                <w:b/>
                <w:sz w:val="20"/>
                <w:szCs w:val="20"/>
              </w:rPr>
              <w:t>Our aggregate exposures to related parties as calculated in accordance with the 2010 Regulations</w:t>
            </w:r>
            <w:r w:rsidRPr="00A55F81">
              <w:rPr>
                <w:rFonts w:ascii="Arial" w:eastAsia="TimesNewRomanPSMT-Identity-H" w:hAnsi="Arial" w:cs="TimesNewRomanPSMT-Identity-H"/>
                <w:b/>
                <w:sz w:val="20"/>
                <w:szCs w:val="20"/>
                <w:vertAlign w:val="superscript"/>
              </w:rPr>
              <w:t>1</w:t>
            </w:r>
          </w:p>
          <w:p w14:paraId="031224C7" w14:textId="77777777" w:rsidR="00543335" w:rsidRPr="001F5F82" w:rsidRDefault="00543335" w:rsidP="00543335">
            <w:pPr>
              <w:autoSpaceDE w:val="0"/>
              <w:autoSpaceDN w:val="0"/>
              <w:adjustRightInd w:val="0"/>
              <w:rPr>
                <w:rFonts w:ascii="Arial" w:eastAsia="TimesNewRomanPSMT-Identity-H" w:hAnsi="Arial" w:cs="TimesNewRomanPSMT-Identity-H"/>
                <w:sz w:val="20"/>
                <w:szCs w:val="20"/>
              </w:rPr>
            </w:pPr>
          </w:p>
        </w:tc>
        <w:tc>
          <w:tcPr>
            <w:tcW w:w="1038" w:type="pct"/>
            <w:shd w:val="clear" w:color="auto" w:fill="DBE5F1" w:themeFill="accent1" w:themeFillTint="33"/>
            <w:vAlign w:val="center"/>
          </w:tcPr>
          <w:p w14:paraId="6A198670" w14:textId="19D692F8" w:rsidR="00543335" w:rsidRPr="001F5F82" w:rsidRDefault="00543335" w:rsidP="00543335">
            <w:pPr>
              <w:autoSpaceDE w:val="0"/>
              <w:autoSpaceDN w:val="0"/>
              <w:adjustRightInd w:val="0"/>
              <w:jc w:val="center"/>
              <w:rPr>
                <w:rFonts w:ascii="Arial" w:eastAsia="TimesNewRomanPSMT-Identity-H" w:hAnsi="Arial" w:cs="TimesNewRomanPSMT-Identity-H"/>
                <w:sz w:val="20"/>
                <w:szCs w:val="20"/>
              </w:rPr>
            </w:pPr>
            <w:r>
              <w:rPr>
                <w:rFonts w:ascii="Arial" w:eastAsia="TimesNewRomanPSMT-Identity-H" w:hAnsi="Arial" w:cs="TimesNewRomanPSMT-Identity-H"/>
                <w:sz w:val="20"/>
                <w:szCs w:val="20"/>
              </w:rPr>
              <w:t>0.</w:t>
            </w:r>
            <w:r w:rsidR="00173D48">
              <w:rPr>
                <w:rFonts w:ascii="Arial" w:eastAsia="TimesNewRomanPSMT-Identity-H" w:hAnsi="Arial" w:cs="TimesNewRomanPSMT-Identity-H"/>
                <w:sz w:val="20"/>
                <w:szCs w:val="20"/>
              </w:rPr>
              <w:t>1</w:t>
            </w:r>
            <w:r>
              <w:rPr>
                <w:rFonts w:ascii="Arial" w:eastAsia="TimesNewRomanPSMT-Identity-H" w:hAnsi="Arial" w:cs="TimesNewRomanPSMT-Identity-H"/>
                <w:sz w:val="20"/>
                <w:szCs w:val="20"/>
              </w:rPr>
              <w:t>%</w:t>
            </w:r>
          </w:p>
        </w:tc>
        <w:tc>
          <w:tcPr>
            <w:tcW w:w="1038" w:type="pct"/>
            <w:shd w:val="clear" w:color="auto" w:fill="DBE5F1" w:themeFill="accent1" w:themeFillTint="33"/>
            <w:vAlign w:val="center"/>
          </w:tcPr>
          <w:p w14:paraId="70475BFA" w14:textId="0CE2968D" w:rsidR="00543335" w:rsidRPr="001F5F82" w:rsidRDefault="00543335" w:rsidP="00543335">
            <w:pPr>
              <w:autoSpaceDE w:val="0"/>
              <w:autoSpaceDN w:val="0"/>
              <w:adjustRightInd w:val="0"/>
              <w:jc w:val="center"/>
              <w:rPr>
                <w:rFonts w:ascii="Arial" w:eastAsia="TimesNewRomanPSMT-Identity-H" w:hAnsi="Arial" w:cs="TimesNewRomanPSMT-Identity-H"/>
                <w:sz w:val="20"/>
                <w:szCs w:val="20"/>
              </w:rPr>
            </w:pPr>
            <w:r>
              <w:rPr>
                <w:rFonts w:ascii="Arial" w:eastAsia="TimesNewRomanPSMT-Identity-H" w:hAnsi="Arial" w:cs="TimesNewRomanPSMT-Identity-H"/>
                <w:sz w:val="20"/>
                <w:szCs w:val="20"/>
              </w:rPr>
              <w:t>0.</w:t>
            </w:r>
            <w:r w:rsidR="000578BD">
              <w:rPr>
                <w:rFonts w:ascii="Arial" w:eastAsia="TimesNewRomanPSMT-Identity-H" w:hAnsi="Arial" w:cs="TimesNewRomanPSMT-Identity-H"/>
                <w:sz w:val="20"/>
                <w:szCs w:val="20"/>
              </w:rPr>
              <w:t>1</w:t>
            </w:r>
            <w:r>
              <w:rPr>
                <w:rFonts w:ascii="Arial" w:eastAsia="TimesNewRomanPSMT-Identity-H" w:hAnsi="Arial" w:cs="TimesNewRomanPSMT-Identity-H"/>
                <w:sz w:val="20"/>
                <w:szCs w:val="20"/>
              </w:rPr>
              <w:t>%</w:t>
            </w:r>
          </w:p>
        </w:tc>
        <w:tc>
          <w:tcPr>
            <w:tcW w:w="1024" w:type="pct"/>
            <w:shd w:val="clear" w:color="auto" w:fill="DBE5F1" w:themeFill="accent1" w:themeFillTint="33"/>
            <w:vAlign w:val="center"/>
          </w:tcPr>
          <w:p w14:paraId="7CA075E9" w14:textId="4FCA16AA" w:rsidR="00543335" w:rsidRPr="001F5F82" w:rsidRDefault="000578BD" w:rsidP="00543335">
            <w:pPr>
              <w:autoSpaceDE w:val="0"/>
              <w:autoSpaceDN w:val="0"/>
              <w:adjustRightInd w:val="0"/>
              <w:jc w:val="center"/>
              <w:rPr>
                <w:rFonts w:ascii="Arial" w:eastAsia="TimesNewRomanPSMT-Identity-H" w:hAnsi="Arial" w:cs="TimesNewRomanPSMT-Identity-H"/>
                <w:sz w:val="20"/>
                <w:szCs w:val="20"/>
              </w:rPr>
            </w:pPr>
            <w:r>
              <w:rPr>
                <w:rFonts w:ascii="Arial" w:eastAsia="TimesNewRomanPSMT-Identity-H" w:hAnsi="Arial" w:cs="TimesNewRomanPSMT-Identity-H"/>
                <w:sz w:val="20"/>
                <w:szCs w:val="20"/>
              </w:rPr>
              <w:t>0.2</w:t>
            </w:r>
            <w:r w:rsidR="00543335">
              <w:rPr>
                <w:rFonts w:ascii="Arial" w:eastAsia="TimesNewRomanPSMT-Identity-H" w:hAnsi="Arial" w:cs="TimesNewRomanPSMT-Identity-H"/>
                <w:sz w:val="20"/>
                <w:szCs w:val="20"/>
              </w:rPr>
              <w:t>%</w:t>
            </w:r>
          </w:p>
        </w:tc>
      </w:tr>
      <w:tr w:rsidR="00543335" w:rsidRPr="001F5F82" w14:paraId="173CBFB1" w14:textId="77777777" w:rsidTr="00543335">
        <w:tc>
          <w:tcPr>
            <w:tcW w:w="1900" w:type="pct"/>
          </w:tcPr>
          <w:p w14:paraId="3227472B" w14:textId="77777777" w:rsidR="00543335" w:rsidRPr="001F5F82" w:rsidRDefault="00543335" w:rsidP="00543335">
            <w:pPr>
              <w:autoSpaceDE w:val="0"/>
              <w:autoSpaceDN w:val="0"/>
              <w:adjustRightInd w:val="0"/>
              <w:rPr>
                <w:rFonts w:ascii="Arial" w:eastAsia="TimesNewRomanPSMT-Identity-H" w:hAnsi="Arial" w:cs="TimesNewRomanPSMT-Identity-H"/>
                <w:b/>
                <w:sz w:val="20"/>
                <w:szCs w:val="20"/>
              </w:rPr>
            </w:pPr>
          </w:p>
          <w:p w14:paraId="27E20DFF" w14:textId="1469B4D6" w:rsidR="00543335" w:rsidRPr="001F5F82" w:rsidRDefault="00543335" w:rsidP="00543335">
            <w:pPr>
              <w:autoSpaceDE w:val="0"/>
              <w:autoSpaceDN w:val="0"/>
              <w:adjustRightInd w:val="0"/>
              <w:rPr>
                <w:rFonts w:ascii="Arial" w:eastAsia="TimesNewRomanPSMT-Identity-H" w:hAnsi="Arial" w:cs="TimesNewRomanPSMT-Identity-H"/>
                <w:b/>
                <w:sz w:val="20"/>
                <w:szCs w:val="20"/>
              </w:rPr>
            </w:pPr>
            <w:r w:rsidRPr="001F5F82">
              <w:rPr>
                <w:rFonts w:ascii="Arial" w:eastAsia="TimesNewRomanPSMT-Identity-H" w:hAnsi="Arial" w:cs="TimesNewRomanPSMT-Identity-H"/>
                <w:b/>
                <w:sz w:val="20"/>
                <w:szCs w:val="20"/>
              </w:rPr>
              <w:t>Maximum limit on aggregate exposures to related parties that we must not exceed that is included in our Trust Deed</w:t>
            </w:r>
            <w:r w:rsidRPr="00A55F81">
              <w:rPr>
                <w:rFonts w:ascii="Arial" w:eastAsia="TimesNewRomanPSMT-Identity-H" w:hAnsi="Arial" w:cs="TimesNewRomanPSMT-Identity-H"/>
                <w:b/>
                <w:sz w:val="20"/>
                <w:szCs w:val="20"/>
                <w:vertAlign w:val="superscript"/>
              </w:rPr>
              <w:t>2</w:t>
            </w:r>
          </w:p>
          <w:p w14:paraId="263FAD28" w14:textId="77777777" w:rsidR="00543335" w:rsidRPr="001F5F82" w:rsidRDefault="00543335" w:rsidP="00543335">
            <w:pPr>
              <w:autoSpaceDE w:val="0"/>
              <w:autoSpaceDN w:val="0"/>
              <w:adjustRightInd w:val="0"/>
              <w:rPr>
                <w:rFonts w:ascii="Arial" w:eastAsia="TimesNewRomanPSMT-Identity-H" w:hAnsi="Arial" w:cs="TimesNewRomanPSMT-Identity-H"/>
                <w:b/>
                <w:sz w:val="20"/>
                <w:szCs w:val="20"/>
              </w:rPr>
            </w:pPr>
          </w:p>
        </w:tc>
        <w:tc>
          <w:tcPr>
            <w:tcW w:w="1038" w:type="pct"/>
            <w:vAlign w:val="center"/>
          </w:tcPr>
          <w:p w14:paraId="73E28FE0" w14:textId="3DEC0363" w:rsidR="00543335" w:rsidRPr="001F5F82" w:rsidRDefault="00543335" w:rsidP="00543335">
            <w:pPr>
              <w:autoSpaceDE w:val="0"/>
              <w:autoSpaceDN w:val="0"/>
              <w:adjustRightInd w:val="0"/>
              <w:jc w:val="center"/>
              <w:rPr>
                <w:rFonts w:ascii="Arial" w:eastAsia="TimesNewRomanPSMT-Identity-H" w:hAnsi="Arial" w:cs="TimesNewRomanPSMT-Identity-H"/>
                <w:sz w:val="20"/>
                <w:szCs w:val="20"/>
              </w:rPr>
            </w:pPr>
            <w:r w:rsidRPr="001F5F82">
              <w:rPr>
                <w:rFonts w:ascii="Arial" w:eastAsia="TimesNewRomanPSMT-Identity-H" w:hAnsi="Arial" w:cs="TimesNewRomanPSMT-Identity-H"/>
                <w:sz w:val="20"/>
                <w:szCs w:val="20"/>
              </w:rPr>
              <w:t>1</w:t>
            </w:r>
            <w:r>
              <w:rPr>
                <w:rFonts w:ascii="Arial" w:eastAsia="TimesNewRomanPSMT-Identity-H" w:hAnsi="Arial" w:cs="TimesNewRomanPSMT-Identity-H"/>
                <w:sz w:val="20"/>
                <w:szCs w:val="20"/>
              </w:rPr>
              <w:t>0</w:t>
            </w:r>
            <w:r w:rsidRPr="001F5F82">
              <w:rPr>
                <w:rFonts w:ascii="Arial" w:eastAsia="TimesNewRomanPSMT-Identity-H" w:hAnsi="Arial" w:cs="TimesNewRomanPSMT-Identity-H"/>
                <w:sz w:val="20"/>
                <w:szCs w:val="20"/>
              </w:rPr>
              <w:t>% of capital</w:t>
            </w:r>
          </w:p>
        </w:tc>
        <w:tc>
          <w:tcPr>
            <w:tcW w:w="1038" w:type="pct"/>
            <w:vAlign w:val="center"/>
          </w:tcPr>
          <w:p w14:paraId="55B674FE" w14:textId="12CE9EF9" w:rsidR="00543335" w:rsidRPr="001F5F82" w:rsidRDefault="00543335" w:rsidP="00543335">
            <w:pPr>
              <w:autoSpaceDE w:val="0"/>
              <w:autoSpaceDN w:val="0"/>
              <w:adjustRightInd w:val="0"/>
              <w:jc w:val="center"/>
              <w:rPr>
                <w:rFonts w:ascii="Arial" w:eastAsia="TimesNewRomanPSMT-Identity-H" w:hAnsi="Arial" w:cs="TimesNewRomanPSMT-Identity-H"/>
                <w:sz w:val="20"/>
                <w:szCs w:val="20"/>
              </w:rPr>
            </w:pPr>
            <w:r w:rsidRPr="001F5F82">
              <w:rPr>
                <w:rFonts w:ascii="Arial" w:eastAsia="TimesNewRomanPSMT-Identity-H" w:hAnsi="Arial" w:cs="TimesNewRomanPSMT-Identity-H"/>
                <w:sz w:val="20"/>
                <w:szCs w:val="20"/>
              </w:rPr>
              <w:t>1</w:t>
            </w:r>
            <w:r>
              <w:rPr>
                <w:rFonts w:ascii="Arial" w:eastAsia="TimesNewRomanPSMT-Identity-H" w:hAnsi="Arial" w:cs="TimesNewRomanPSMT-Identity-H"/>
                <w:sz w:val="20"/>
                <w:szCs w:val="20"/>
              </w:rPr>
              <w:t>0</w:t>
            </w:r>
            <w:r w:rsidRPr="001F5F82">
              <w:rPr>
                <w:rFonts w:ascii="Arial" w:eastAsia="TimesNewRomanPSMT-Identity-H" w:hAnsi="Arial" w:cs="TimesNewRomanPSMT-Identity-H"/>
                <w:sz w:val="20"/>
                <w:szCs w:val="20"/>
              </w:rPr>
              <w:t>% of capital</w:t>
            </w:r>
          </w:p>
        </w:tc>
        <w:tc>
          <w:tcPr>
            <w:tcW w:w="1024" w:type="pct"/>
            <w:vAlign w:val="center"/>
          </w:tcPr>
          <w:p w14:paraId="53B30E69" w14:textId="1B76D2F0" w:rsidR="00543335" w:rsidRPr="001F5F82" w:rsidRDefault="00543335" w:rsidP="00543335">
            <w:pPr>
              <w:autoSpaceDE w:val="0"/>
              <w:autoSpaceDN w:val="0"/>
              <w:adjustRightInd w:val="0"/>
              <w:jc w:val="center"/>
              <w:rPr>
                <w:rFonts w:ascii="Arial" w:eastAsia="TimesNewRomanPSMT-Identity-H" w:hAnsi="Arial" w:cs="TimesNewRomanPSMT-Identity-H"/>
                <w:sz w:val="20"/>
                <w:szCs w:val="20"/>
              </w:rPr>
            </w:pPr>
            <w:r w:rsidRPr="001F5F82">
              <w:rPr>
                <w:rFonts w:ascii="Arial" w:eastAsia="TimesNewRomanPSMT-Identity-H" w:hAnsi="Arial" w:cs="TimesNewRomanPSMT-Identity-H"/>
                <w:sz w:val="20"/>
                <w:szCs w:val="20"/>
              </w:rPr>
              <w:t>1</w:t>
            </w:r>
            <w:r>
              <w:rPr>
                <w:rFonts w:ascii="Arial" w:eastAsia="TimesNewRomanPSMT-Identity-H" w:hAnsi="Arial" w:cs="TimesNewRomanPSMT-Identity-H"/>
                <w:sz w:val="20"/>
                <w:szCs w:val="20"/>
              </w:rPr>
              <w:t>0</w:t>
            </w:r>
            <w:r w:rsidRPr="001F5F82">
              <w:rPr>
                <w:rFonts w:ascii="Arial" w:eastAsia="TimesNewRomanPSMT-Identity-H" w:hAnsi="Arial" w:cs="TimesNewRomanPSMT-Identity-H"/>
                <w:sz w:val="20"/>
                <w:szCs w:val="20"/>
              </w:rPr>
              <w:t>% of capital</w:t>
            </w:r>
          </w:p>
        </w:tc>
      </w:tr>
      <w:tr w:rsidR="00543335" w:rsidRPr="001F5F82" w14:paraId="721A93B9" w14:textId="77777777" w:rsidTr="00543335">
        <w:tc>
          <w:tcPr>
            <w:tcW w:w="1900" w:type="pct"/>
          </w:tcPr>
          <w:p w14:paraId="1092B236" w14:textId="77777777" w:rsidR="00543335" w:rsidRPr="001F5F82" w:rsidRDefault="00543335" w:rsidP="00543335">
            <w:pPr>
              <w:autoSpaceDE w:val="0"/>
              <w:autoSpaceDN w:val="0"/>
              <w:adjustRightInd w:val="0"/>
              <w:rPr>
                <w:rFonts w:ascii="Arial" w:eastAsia="TimesNewRomanPSMT-Identity-H" w:hAnsi="Arial" w:cs="TimesNewRomanPSMT-Identity-H"/>
                <w:b/>
                <w:sz w:val="20"/>
                <w:szCs w:val="20"/>
              </w:rPr>
            </w:pPr>
          </w:p>
          <w:p w14:paraId="66CB6AFA" w14:textId="71DEDE1D" w:rsidR="00543335" w:rsidRPr="001F5F82" w:rsidRDefault="00543335" w:rsidP="00543335">
            <w:pPr>
              <w:autoSpaceDE w:val="0"/>
              <w:autoSpaceDN w:val="0"/>
              <w:adjustRightInd w:val="0"/>
              <w:rPr>
                <w:rFonts w:ascii="Arial" w:eastAsia="TimesNewRomanPSMT-Identity-H" w:hAnsi="Arial" w:cs="TimesNewRomanPSMT-Identity-H"/>
                <w:b/>
                <w:sz w:val="20"/>
                <w:szCs w:val="20"/>
              </w:rPr>
            </w:pPr>
            <w:r w:rsidRPr="001F5F82">
              <w:rPr>
                <w:rFonts w:ascii="Arial" w:eastAsia="TimesNewRomanPSMT-Identity-H" w:hAnsi="Arial" w:cs="TimesNewRomanPSMT-Identity-H"/>
                <w:b/>
                <w:sz w:val="20"/>
                <w:szCs w:val="20"/>
              </w:rPr>
              <w:t>Maximum limit on aggregate exposures to related parties that we must not exceed that must be included in our Trust Deed under reg 23(3)(b) of the 2010 Regulations</w:t>
            </w:r>
            <w:r w:rsidRPr="00A55F81">
              <w:rPr>
                <w:rFonts w:ascii="Arial" w:eastAsia="TimesNewRomanPSMT-Identity-H" w:hAnsi="Arial" w:cs="TimesNewRomanPSMT-Identity-H"/>
                <w:b/>
                <w:sz w:val="20"/>
                <w:szCs w:val="20"/>
                <w:vertAlign w:val="superscript"/>
              </w:rPr>
              <w:t>1</w:t>
            </w:r>
          </w:p>
          <w:p w14:paraId="24D3DCDA" w14:textId="77777777" w:rsidR="00543335" w:rsidRPr="001F5F82" w:rsidRDefault="00543335" w:rsidP="00543335">
            <w:pPr>
              <w:autoSpaceDE w:val="0"/>
              <w:autoSpaceDN w:val="0"/>
              <w:adjustRightInd w:val="0"/>
              <w:rPr>
                <w:rFonts w:ascii="Arial" w:eastAsia="TimesNewRomanPSMT-Identity-H" w:hAnsi="Arial" w:cs="TimesNewRomanPSMT-Identity-H"/>
                <w:b/>
                <w:sz w:val="20"/>
                <w:szCs w:val="20"/>
              </w:rPr>
            </w:pPr>
          </w:p>
        </w:tc>
        <w:tc>
          <w:tcPr>
            <w:tcW w:w="1038" w:type="pct"/>
            <w:vAlign w:val="center"/>
          </w:tcPr>
          <w:p w14:paraId="6ECC5D7A" w14:textId="77777777" w:rsidR="00543335" w:rsidRPr="001F5F82" w:rsidRDefault="00543335" w:rsidP="00543335">
            <w:pPr>
              <w:autoSpaceDE w:val="0"/>
              <w:autoSpaceDN w:val="0"/>
              <w:adjustRightInd w:val="0"/>
              <w:jc w:val="center"/>
              <w:rPr>
                <w:rFonts w:ascii="Arial" w:eastAsia="TimesNewRomanPSMT-Identity-H" w:hAnsi="Arial" w:cs="TimesNewRomanPSMT-Identity-H"/>
                <w:sz w:val="20"/>
                <w:szCs w:val="20"/>
              </w:rPr>
            </w:pPr>
            <w:r w:rsidRPr="001F5F82">
              <w:rPr>
                <w:rFonts w:ascii="Arial" w:eastAsia="TimesNewRomanPSMT-Identity-H" w:hAnsi="Arial" w:cs="TimesNewRomanPSMT-Identity-H"/>
                <w:sz w:val="20"/>
                <w:szCs w:val="20"/>
              </w:rPr>
              <w:t>15% of capital</w:t>
            </w:r>
          </w:p>
        </w:tc>
        <w:tc>
          <w:tcPr>
            <w:tcW w:w="1038" w:type="pct"/>
            <w:vAlign w:val="center"/>
          </w:tcPr>
          <w:p w14:paraId="312AF9B2" w14:textId="2BDDD582" w:rsidR="00543335" w:rsidRPr="001F5F82" w:rsidRDefault="00543335" w:rsidP="00543335">
            <w:pPr>
              <w:autoSpaceDE w:val="0"/>
              <w:autoSpaceDN w:val="0"/>
              <w:adjustRightInd w:val="0"/>
              <w:jc w:val="center"/>
              <w:rPr>
                <w:rFonts w:ascii="Arial" w:eastAsia="TimesNewRomanPSMT-Identity-H" w:hAnsi="Arial" w:cs="TimesNewRomanPSMT-Identity-H"/>
                <w:sz w:val="20"/>
                <w:szCs w:val="20"/>
              </w:rPr>
            </w:pPr>
            <w:r w:rsidRPr="001F5F82">
              <w:rPr>
                <w:rFonts w:ascii="Arial" w:eastAsia="TimesNewRomanPSMT-Identity-H" w:hAnsi="Arial" w:cs="TimesNewRomanPSMT-Identity-H"/>
                <w:sz w:val="20"/>
                <w:szCs w:val="20"/>
              </w:rPr>
              <w:t>15% of capital</w:t>
            </w:r>
          </w:p>
        </w:tc>
        <w:tc>
          <w:tcPr>
            <w:tcW w:w="1024" w:type="pct"/>
            <w:vAlign w:val="center"/>
          </w:tcPr>
          <w:p w14:paraId="58B9FC8D" w14:textId="65101963" w:rsidR="00543335" w:rsidRPr="001F5F82" w:rsidRDefault="00543335" w:rsidP="00543335">
            <w:pPr>
              <w:autoSpaceDE w:val="0"/>
              <w:autoSpaceDN w:val="0"/>
              <w:adjustRightInd w:val="0"/>
              <w:jc w:val="center"/>
              <w:rPr>
                <w:rFonts w:ascii="Arial" w:eastAsia="TimesNewRomanPSMT-Identity-H" w:hAnsi="Arial" w:cs="TimesNewRomanPSMT-Identity-H"/>
                <w:sz w:val="20"/>
                <w:szCs w:val="20"/>
              </w:rPr>
            </w:pPr>
            <w:r w:rsidRPr="001F5F82">
              <w:rPr>
                <w:rFonts w:ascii="Arial" w:eastAsia="TimesNewRomanPSMT-Identity-H" w:hAnsi="Arial" w:cs="TimesNewRomanPSMT-Identity-H"/>
                <w:sz w:val="20"/>
                <w:szCs w:val="20"/>
              </w:rPr>
              <w:t>15% of capital</w:t>
            </w:r>
          </w:p>
        </w:tc>
      </w:tr>
      <w:tr w:rsidR="008E5812" w:rsidRPr="001F5F82" w14:paraId="2CC8A57A" w14:textId="77777777" w:rsidTr="00C62C60">
        <w:tc>
          <w:tcPr>
            <w:tcW w:w="5000" w:type="pct"/>
            <w:gridSpan w:val="4"/>
          </w:tcPr>
          <w:p w14:paraId="382470BB" w14:textId="77777777" w:rsidR="008E5812" w:rsidRPr="001F5F82" w:rsidRDefault="008E5812" w:rsidP="008E5812">
            <w:pPr>
              <w:autoSpaceDE w:val="0"/>
              <w:autoSpaceDN w:val="0"/>
              <w:adjustRightInd w:val="0"/>
              <w:jc w:val="center"/>
              <w:rPr>
                <w:rFonts w:ascii="Arial" w:eastAsia="TimesNewRomanPSMT-Identity-H" w:hAnsi="Arial" w:cs="TimesNewRomanPSMT-Identity-H"/>
                <w:sz w:val="16"/>
                <w:szCs w:val="16"/>
              </w:rPr>
            </w:pPr>
          </w:p>
          <w:p w14:paraId="690591F1" w14:textId="7B886788" w:rsidR="008E5812" w:rsidRPr="001F5F82" w:rsidRDefault="008E5812" w:rsidP="008E5812">
            <w:pPr>
              <w:autoSpaceDE w:val="0"/>
              <w:autoSpaceDN w:val="0"/>
              <w:adjustRightInd w:val="0"/>
              <w:rPr>
                <w:rFonts w:ascii="Arial" w:eastAsia="TimesNewRomanPSMT-Identity-H" w:hAnsi="Arial" w:cs="TimesNewRomanPSMT-Identity-H"/>
                <w:sz w:val="16"/>
                <w:szCs w:val="16"/>
              </w:rPr>
            </w:pPr>
            <w:r w:rsidRPr="001F5F82">
              <w:rPr>
                <w:rFonts w:ascii="Arial" w:eastAsia="TimesNewRomanPSMT-Identity-H" w:hAnsi="Arial" w:cs="TimesNewRomanPSMT-Identity-H"/>
                <w:sz w:val="16"/>
                <w:szCs w:val="16"/>
              </w:rPr>
              <w:t xml:space="preserve">Related party exposures are financial exposures that General Finance </w:t>
            </w:r>
            <w:proofErr w:type="gramStart"/>
            <w:r w:rsidRPr="001F5F82">
              <w:rPr>
                <w:rFonts w:ascii="Arial" w:eastAsia="TimesNewRomanPSMT-Identity-H" w:hAnsi="Arial" w:cs="TimesNewRomanPSMT-Identity-H"/>
                <w:sz w:val="16"/>
                <w:szCs w:val="16"/>
              </w:rPr>
              <w:t>has to</w:t>
            </w:r>
            <w:proofErr w:type="gramEnd"/>
            <w:r w:rsidRPr="001F5F82">
              <w:rPr>
                <w:rFonts w:ascii="Arial" w:eastAsia="TimesNewRomanPSMT-Identity-H" w:hAnsi="Arial" w:cs="TimesNewRomanPSMT-Identity-H"/>
                <w:sz w:val="16"/>
                <w:szCs w:val="16"/>
              </w:rPr>
              <w:t xml:space="preserve"> related parties. A related party is an entity that is related to General Finance through common control or some other connection that may give the party influence over General Finance (or General Finance over the related party). </w:t>
            </w:r>
          </w:p>
          <w:p w14:paraId="09CA310E" w14:textId="77777777" w:rsidR="008E5812" w:rsidRPr="001F5F82" w:rsidRDefault="008E5812" w:rsidP="008E5812">
            <w:pPr>
              <w:autoSpaceDE w:val="0"/>
              <w:autoSpaceDN w:val="0"/>
              <w:adjustRightInd w:val="0"/>
              <w:jc w:val="center"/>
              <w:rPr>
                <w:rFonts w:ascii="Arial" w:eastAsia="TimesNewRomanPSMT-Identity-H" w:hAnsi="Arial" w:cs="TimesNewRomanPSMT-Identity-H"/>
                <w:sz w:val="16"/>
                <w:szCs w:val="16"/>
              </w:rPr>
            </w:pPr>
          </w:p>
        </w:tc>
      </w:tr>
    </w:tbl>
    <w:p w14:paraId="2881066C" w14:textId="77777777" w:rsidR="003E0E42" w:rsidRDefault="003E0E42" w:rsidP="0006682A">
      <w:pPr>
        <w:rPr>
          <w:rFonts w:ascii="Arial" w:eastAsia="TimesNewRomanPSMT-Identity-H" w:hAnsi="Arial" w:cs="TimesNewRomanPSMT-Identity-H"/>
          <w:b/>
          <w:sz w:val="20"/>
          <w:szCs w:val="20"/>
        </w:rPr>
      </w:pPr>
    </w:p>
    <w:p w14:paraId="6ED46825" w14:textId="77777777" w:rsidR="00C62C60" w:rsidRDefault="00C62C60" w:rsidP="00C62C60">
      <w:pPr>
        <w:autoSpaceDE w:val="0"/>
        <w:autoSpaceDN w:val="0"/>
        <w:adjustRightInd w:val="0"/>
        <w:rPr>
          <w:rFonts w:ascii="Arial" w:eastAsia="TimesNewRomanPSMT-Identity-H" w:hAnsi="Arial" w:cs="TimesNewRomanPSMT-Identity-H"/>
          <w:sz w:val="16"/>
          <w:szCs w:val="16"/>
        </w:rPr>
      </w:pPr>
    </w:p>
    <w:p w14:paraId="3FEFF566" w14:textId="77777777" w:rsidR="0050175C" w:rsidRPr="004D478F" w:rsidRDefault="0050175C" w:rsidP="004D478F">
      <w:pPr>
        <w:autoSpaceDE w:val="0"/>
        <w:autoSpaceDN w:val="0"/>
        <w:adjustRightInd w:val="0"/>
        <w:rPr>
          <w:rFonts w:ascii="Arial" w:eastAsia="TimesNewRomanPSMT-Identity-H" w:hAnsi="Arial" w:cs="TimesNewRomanPSMT-Identity-H"/>
          <w:sz w:val="16"/>
          <w:szCs w:val="16"/>
        </w:rPr>
      </w:pPr>
    </w:p>
    <w:p w14:paraId="1C51921C" w14:textId="2AFA50CB" w:rsidR="004D478F" w:rsidRPr="00C91C90" w:rsidRDefault="004D478F" w:rsidP="004D478F">
      <w:pPr>
        <w:autoSpaceDE w:val="0"/>
        <w:autoSpaceDN w:val="0"/>
        <w:adjustRightInd w:val="0"/>
        <w:rPr>
          <w:rFonts w:ascii="Arial" w:eastAsia="TimesNewRomanPSMT-Identity-H" w:hAnsi="Arial" w:cs="TimesNewRomanPSMT-Identity-H"/>
          <w:b/>
          <w:caps/>
          <w:color w:val="000080"/>
          <w:sz w:val="20"/>
          <w:szCs w:val="20"/>
        </w:rPr>
      </w:pPr>
      <w:r>
        <w:rPr>
          <w:rFonts w:ascii="Helvetica" w:eastAsia="TimesNewRomanPSMT-Identity-H" w:hAnsi="Helvetica" w:cs="TimesNewRomanPSMT-Identity-H"/>
          <w:b/>
          <w:color w:val="000000"/>
          <w:sz w:val="20"/>
          <w:szCs w:val="20"/>
        </w:rPr>
        <w:t>Liquidity</w:t>
      </w:r>
    </w:p>
    <w:p w14:paraId="005F0322" w14:textId="77777777" w:rsidR="003E0E42" w:rsidRDefault="003E0E42" w:rsidP="0006682A">
      <w:pPr>
        <w:rPr>
          <w:rFonts w:ascii="Arial" w:eastAsia="TimesNewRomanPSMT-Identity-H" w:hAnsi="Arial" w:cs="TimesNewRomanPSMT-Identity-H"/>
          <w:b/>
          <w:sz w:val="20"/>
          <w:szCs w:val="20"/>
        </w:rPr>
      </w:pPr>
    </w:p>
    <w:tbl>
      <w:tblPr>
        <w:tblW w:w="4952"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114"/>
        <w:gridCol w:w="1701"/>
        <w:gridCol w:w="1701"/>
        <w:gridCol w:w="1701"/>
      </w:tblGrid>
      <w:tr w:rsidR="00543335" w:rsidRPr="001F5F82" w14:paraId="31863EC2" w14:textId="77777777" w:rsidTr="00C62C60">
        <w:tc>
          <w:tcPr>
            <w:tcW w:w="1895" w:type="pct"/>
          </w:tcPr>
          <w:p w14:paraId="5807E35A" w14:textId="77777777" w:rsidR="00543335" w:rsidRPr="001F5F82" w:rsidRDefault="00543335" w:rsidP="00543335">
            <w:pPr>
              <w:autoSpaceDE w:val="0"/>
              <w:autoSpaceDN w:val="0"/>
              <w:adjustRightInd w:val="0"/>
              <w:rPr>
                <w:rFonts w:ascii="Arial" w:eastAsia="TimesNewRomanPSMT-Identity-H" w:hAnsi="Arial" w:cs="TimesNewRomanPSMT-Identity-H"/>
                <w:b/>
                <w:sz w:val="20"/>
                <w:szCs w:val="20"/>
              </w:rPr>
            </w:pPr>
          </w:p>
        </w:tc>
        <w:tc>
          <w:tcPr>
            <w:tcW w:w="1035" w:type="pct"/>
          </w:tcPr>
          <w:p w14:paraId="41A9CFC9" w14:textId="77777777"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p>
          <w:p w14:paraId="2A951CF3" w14:textId="3AE711EC"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r w:rsidRPr="001F5F82">
              <w:rPr>
                <w:rFonts w:ascii="Arial" w:eastAsia="TimesNewRomanPSMT-Identity-H" w:hAnsi="Arial" w:cs="TimesNewRomanPSMT-Identity-H"/>
                <w:b/>
                <w:sz w:val="20"/>
                <w:szCs w:val="20"/>
              </w:rPr>
              <w:t>31 March 20</w:t>
            </w:r>
            <w:r>
              <w:rPr>
                <w:rFonts w:ascii="Arial" w:eastAsia="TimesNewRomanPSMT-Identity-H" w:hAnsi="Arial" w:cs="TimesNewRomanPSMT-Identity-H"/>
                <w:b/>
                <w:sz w:val="20"/>
                <w:szCs w:val="20"/>
              </w:rPr>
              <w:t>2</w:t>
            </w:r>
            <w:r w:rsidR="004531C5">
              <w:rPr>
                <w:rFonts w:ascii="Arial" w:eastAsia="TimesNewRomanPSMT-Identity-H" w:hAnsi="Arial" w:cs="TimesNewRomanPSMT-Identity-H"/>
                <w:b/>
                <w:sz w:val="20"/>
                <w:szCs w:val="20"/>
              </w:rPr>
              <w:t>3</w:t>
            </w:r>
          </w:p>
          <w:p w14:paraId="35846255" w14:textId="77777777"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p>
        </w:tc>
        <w:tc>
          <w:tcPr>
            <w:tcW w:w="1035" w:type="pct"/>
          </w:tcPr>
          <w:p w14:paraId="419132F9" w14:textId="77777777"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p>
          <w:p w14:paraId="7A5D4BE7" w14:textId="2D8176A1"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r w:rsidRPr="001F5F82">
              <w:rPr>
                <w:rFonts w:ascii="Arial" w:eastAsia="TimesNewRomanPSMT-Identity-H" w:hAnsi="Arial" w:cs="TimesNewRomanPSMT-Identity-H"/>
                <w:b/>
                <w:sz w:val="20"/>
                <w:szCs w:val="20"/>
              </w:rPr>
              <w:t>31 March 20</w:t>
            </w:r>
            <w:r>
              <w:rPr>
                <w:rFonts w:ascii="Arial" w:eastAsia="TimesNewRomanPSMT-Identity-H" w:hAnsi="Arial" w:cs="TimesNewRomanPSMT-Identity-H"/>
                <w:b/>
                <w:sz w:val="20"/>
                <w:szCs w:val="20"/>
              </w:rPr>
              <w:t>2</w:t>
            </w:r>
            <w:r w:rsidR="004531C5">
              <w:rPr>
                <w:rFonts w:ascii="Arial" w:eastAsia="TimesNewRomanPSMT-Identity-H" w:hAnsi="Arial" w:cs="TimesNewRomanPSMT-Identity-H"/>
                <w:b/>
                <w:sz w:val="20"/>
                <w:szCs w:val="20"/>
              </w:rPr>
              <w:t>2</w:t>
            </w:r>
          </w:p>
          <w:p w14:paraId="4B3B36E0" w14:textId="77777777"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p>
        </w:tc>
        <w:tc>
          <w:tcPr>
            <w:tcW w:w="1035" w:type="pct"/>
          </w:tcPr>
          <w:p w14:paraId="6835C7C3" w14:textId="77777777"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p>
          <w:p w14:paraId="723D84F0" w14:textId="49AD8B20"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r w:rsidRPr="001F5F82">
              <w:rPr>
                <w:rFonts w:ascii="Arial" w:eastAsia="TimesNewRomanPSMT-Identity-H" w:hAnsi="Arial" w:cs="TimesNewRomanPSMT-Identity-H"/>
                <w:b/>
                <w:sz w:val="20"/>
                <w:szCs w:val="20"/>
              </w:rPr>
              <w:t>31 March 20</w:t>
            </w:r>
            <w:r>
              <w:rPr>
                <w:rFonts w:ascii="Arial" w:eastAsia="TimesNewRomanPSMT-Identity-H" w:hAnsi="Arial" w:cs="TimesNewRomanPSMT-Identity-H"/>
                <w:b/>
                <w:sz w:val="20"/>
                <w:szCs w:val="20"/>
              </w:rPr>
              <w:t>2</w:t>
            </w:r>
            <w:r w:rsidR="004531C5">
              <w:rPr>
                <w:rFonts w:ascii="Arial" w:eastAsia="TimesNewRomanPSMT-Identity-H" w:hAnsi="Arial" w:cs="TimesNewRomanPSMT-Identity-H"/>
                <w:b/>
                <w:sz w:val="20"/>
                <w:szCs w:val="20"/>
              </w:rPr>
              <w:t>1</w:t>
            </w:r>
          </w:p>
          <w:p w14:paraId="7431B1FD" w14:textId="30B8A188"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p>
        </w:tc>
      </w:tr>
      <w:tr w:rsidR="00543335" w:rsidRPr="001F5F82" w14:paraId="6F149C5F" w14:textId="77777777" w:rsidTr="00C62C60">
        <w:tc>
          <w:tcPr>
            <w:tcW w:w="1895" w:type="pct"/>
            <w:shd w:val="clear" w:color="auto" w:fill="DBE5F1" w:themeFill="accent1" w:themeFillTint="33"/>
          </w:tcPr>
          <w:p w14:paraId="06225818" w14:textId="77777777" w:rsidR="00543335" w:rsidRPr="001F5F82" w:rsidRDefault="00543335" w:rsidP="00543335">
            <w:pPr>
              <w:autoSpaceDE w:val="0"/>
              <w:autoSpaceDN w:val="0"/>
              <w:adjustRightInd w:val="0"/>
              <w:rPr>
                <w:rFonts w:ascii="Arial" w:eastAsia="TimesNewRomanPSMT-Identity-H" w:hAnsi="Arial" w:cs="TimesNewRomanPSMT-Identity-H"/>
                <w:b/>
                <w:sz w:val="20"/>
                <w:szCs w:val="20"/>
              </w:rPr>
            </w:pPr>
          </w:p>
          <w:p w14:paraId="6E9A4C5C" w14:textId="77777777" w:rsidR="00543335" w:rsidRPr="001F5F82" w:rsidRDefault="00543335" w:rsidP="00543335">
            <w:pPr>
              <w:autoSpaceDE w:val="0"/>
              <w:autoSpaceDN w:val="0"/>
              <w:adjustRightInd w:val="0"/>
              <w:rPr>
                <w:rFonts w:ascii="Arial" w:eastAsia="TimesNewRomanPSMT-Identity-H" w:hAnsi="Arial" w:cs="TimesNewRomanPSMT-Identity-H"/>
                <w:b/>
                <w:sz w:val="20"/>
                <w:szCs w:val="20"/>
              </w:rPr>
            </w:pPr>
            <w:r w:rsidRPr="001F5F82">
              <w:rPr>
                <w:rFonts w:ascii="Arial" w:eastAsia="TimesNewRomanPSMT-Identity-H" w:hAnsi="Arial" w:cs="TimesNewRomanPSMT-Identity-H"/>
                <w:b/>
                <w:sz w:val="20"/>
                <w:szCs w:val="20"/>
              </w:rPr>
              <w:t>Our liquidity calculated in accordance with the quantitative liquidity requirements included in our Trust Deed *</w:t>
            </w:r>
          </w:p>
          <w:p w14:paraId="307055BE" w14:textId="77777777" w:rsidR="00543335" w:rsidRPr="001F5F82" w:rsidRDefault="00543335" w:rsidP="00543335">
            <w:pPr>
              <w:autoSpaceDE w:val="0"/>
              <w:autoSpaceDN w:val="0"/>
              <w:adjustRightInd w:val="0"/>
              <w:rPr>
                <w:rFonts w:ascii="Arial" w:eastAsia="TimesNewRomanPSMT-Identity-H" w:hAnsi="Arial" w:cs="TimesNewRomanPSMT-Identity-H"/>
                <w:b/>
                <w:sz w:val="20"/>
                <w:szCs w:val="20"/>
              </w:rPr>
            </w:pPr>
          </w:p>
        </w:tc>
        <w:tc>
          <w:tcPr>
            <w:tcW w:w="1035" w:type="pct"/>
            <w:shd w:val="clear" w:color="auto" w:fill="DBE5F1" w:themeFill="accent1" w:themeFillTint="33"/>
            <w:vAlign w:val="center"/>
          </w:tcPr>
          <w:p w14:paraId="6096184A" w14:textId="2A6B25D5" w:rsidR="00543335" w:rsidRPr="001F5F82" w:rsidRDefault="00173D48" w:rsidP="00543335">
            <w:pPr>
              <w:autoSpaceDE w:val="0"/>
              <w:autoSpaceDN w:val="0"/>
              <w:adjustRightInd w:val="0"/>
              <w:jc w:val="center"/>
              <w:rPr>
                <w:rFonts w:ascii="Arial" w:eastAsia="TimesNewRomanPSMT-Identity-H" w:hAnsi="Arial" w:cs="TimesNewRomanPSMT-Identity-H"/>
                <w:sz w:val="20"/>
                <w:szCs w:val="20"/>
              </w:rPr>
            </w:pPr>
            <w:r>
              <w:rPr>
                <w:rFonts w:ascii="Arial" w:eastAsia="TimesNewRomanPSMT-Identity-H" w:hAnsi="Arial" w:cs="TimesNewRomanPSMT-Identity-H"/>
                <w:sz w:val="20"/>
                <w:szCs w:val="20"/>
              </w:rPr>
              <w:t>4.</w:t>
            </w:r>
            <w:r w:rsidR="004531C5">
              <w:rPr>
                <w:rFonts w:ascii="Arial" w:eastAsia="TimesNewRomanPSMT-Identity-H" w:hAnsi="Arial" w:cs="TimesNewRomanPSMT-Identity-H"/>
                <w:sz w:val="20"/>
                <w:szCs w:val="20"/>
              </w:rPr>
              <w:t>0</w:t>
            </w:r>
            <w:r w:rsidR="00543335" w:rsidRPr="001F5F82">
              <w:rPr>
                <w:rFonts w:ascii="Arial" w:eastAsia="TimesNewRomanPSMT-Identity-H" w:hAnsi="Arial" w:cs="TimesNewRomanPSMT-Identity-H"/>
                <w:sz w:val="20"/>
                <w:szCs w:val="20"/>
              </w:rPr>
              <w:t xml:space="preserve"> times</w:t>
            </w:r>
          </w:p>
        </w:tc>
        <w:tc>
          <w:tcPr>
            <w:tcW w:w="1035" w:type="pct"/>
            <w:shd w:val="clear" w:color="auto" w:fill="DBE5F1" w:themeFill="accent1" w:themeFillTint="33"/>
            <w:vAlign w:val="center"/>
          </w:tcPr>
          <w:p w14:paraId="792EA68C" w14:textId="3FFD9979" w:rsidR="00543335" w:rsidRPr="001F5F82" w:rsidRDefault="004531C5" w:rsidP="00543335">
            <w:pPr>
              <w:autoSpaceDE w:val="0"/>
              <w:autoSpaceDN w:val="0"/>
              <w:adjustRightInd w:val="0"/>
              <w:jc w:val="center"/>
              <w:rPr>
                <w:rFonts w:ascii="Arial" w:eastAsia="TimesNewRomanPSMT-Identity-H" w:hAnsi="Arial" w:cs="TimesNewRomanPSMT-Identity-H"/>
                <w:sz w:val="20"/>
                <w:szCs w:val="20"/>
              </w:rPr>
            </w:pPr>
            <w:r>
              <w:rPr>
                <w:rFonts w:ascii="Arial" w:eastAsia="TimesNewRomanPSMT-Identity-H" w:hAnsi="Arial" w:cs="TimesNewRomanPSMT-Identity-H"/>
                <w:sz w:val="20"/>
                <w:szCs w:val="20"/>
              </w:rPr>
              <w:t>4.5</w:t>
            </w:r>
            <w:r w:rsidR="00543335" w:rsidRPr="001F5F82">
              <w:rPr>
                <w:rFonts w:ascii="Arial" w:eastAsia="TimesNewRomanPSMT-Identity-H" w:hAnsi="Arial" w:cs="TimesNewRomanPSMT-Identity-H"/>
                <w:sz w:val="20"/>
                <w:szCs w:val="20"/>
              </w:rPr>
              <w:t xml:space="preserve"> times</w:t>
            </w:r>
          </w:p>
        </w:tc>
        <w:tc>
          <w:tcPr>
            <w:tcW w:w="1035" w:type="pct"/>
            <w:shd w:val="clear" w:color="auto" w:fill="DBE5F1" w:themeFill="accent1" w:themeFillTint="33"/>
            <w:vAlign w:val="center"/>
          </w:tcPr>
          <w:p w14:paraId="0DB836A2" w14:textId="5C34843F" w:rsidR="00543335" w:rsidRPr="001F5F82" w:rsidRDefault="00543335" w:rsidP="00543335">
            <w:pPr>
              <w:autoSpaceDE w:val="0"/>
              <w:autoSpaceDN w:val="0"/>
              <w:adjustRightInd w:val="0"/>
              <w:jc w:val="center"/>
              <w:rPr>
                <w:rFonts w:ascii="Arial" w:eastAsia="TimesNewRomanPSMT-Identity-H" w:hAnsi="Arial" w:cs="TimesNewRomanPSMT-Identity-H"/>
                <w:sz w:val="20"/>
                <w:szCs w:val="20"/>
              </w:rPr>
            </w:pPr>
            <w:r>
              <w:rPr>
                <w:rFonts w:ascii="Arial" w:eastAsia="TimesNewRomanPSMT-Identity-H" w:hAnsi="Arial" w:cs="TimesNewRomanPSMT-Identity-H"/>
                <w:sz w:val="20"/>
                <w:szCs w:val="20"/>
              </w:rPr>
              <w:t>3.</w:t>
            </w:r>
            <w:r w:rsidR="004531C5">
              <w:rPr>
                <w:rFonts w:ascii="Arial" w:eastAsia="TimesNewRomanPSMT-Identity-H" w:hAnsi="Arial" w:cs="TimesNewRomanPSMT-Identity-H"/>
                <w:sz w:val="20"/>
                <w:szCs w:val="20"/>
              </w:rPr>
              <w:t>6</w:t>
            </w:r>
            <w:r w:rsidRPr="001F5F82">
              <w:rPr>
                <w:rFonts w:ascii="Arial" w:eastAsia="TimesNewRomanPSMT-Identity-H" w:hAnsi="Arial" w:cs="TimesNewRomanPSMT-Identity-H"/>
                <w:sz w:val="20"/>
                <w:szCs w:val="20"/>
              </w:rPr>
              <w:t xml:space="preserve"> times</w:t>
            </w:r>
          </w:p>
        </w:tc>
      </w:tr>
      <w:tr w:rsidR="00543335" w:rsidRPr="001F5F82" w14:paraId="44F11238" w14:textId="77777777" w:rsidTr="00C62C60">
        <w:tc>
          <w:tcPr>
            <w:tcW w:w="1895" w:type="pct"/>
          </w:tcPr>
          <w:p w14:paraId="04BFD935" w14:textId="77777777" w:rsidR="00543335" w:rsidRPr="001F5F82" w:rsidRDefault="00543335" w:rsidP="00543335">
            <w:pPr>
              <w:autoSpaceDE w:val="0"/>
              <w:autoSpaceDN w:val="0"/>
              <w:adjustRightInd w:val="0"/>
              <w:rPr>
                <w:rFonts w:ascii="Arial" w:eastAsia="TimesNewRomanPSMT-Identity-H" w:hAnsi="Arial" w:cs="TimesNewRomanPSMT-Identity-H"/>
                <w:b/>
                <w:sz w:val="20"/>
                <w:szCs w:val="20"/>
              </w:rPr>
            </w:pPr>
          </w:p>
          <w:p w14:paraId="4EFC80EC" w14:textId="77777777" w:rsidR="00543335" w:rsidRPr="001F5F82" w:rsidRDefault="00543335" w:rsidP="00543335">
            <w:pPr>
              <w:autoSpaceDE w:val="0"/>
              <w:autoSpaceDN w:val="0"/>
              <w:adjustRightInd w:val="0"/>
              <w:rPr>
                <w:rFonts w:ascii="Arial" w:eastAsia="TimesNewRomanPSMT-Identity-H" w:hAnsi="Arial" w:cs="TimesNewRomanPSMT-Identity-H"/>
                <w:b/>
                <w:sz w:val="20"/>
                <w:szCs w:val="20"/>
              </w:rPr>
            </w:pPr>
            <w:r w:rsidRPr="001F5F82">
              <w:rPr>
                <w:rFonts w:ascii="Arial" w:eastAsia="TimesNewRomanPSMT-Identity-H" w:hAnsi="Arial" w:cs="TimesNewRomanPSMT-Identity-H"/>
                <w:b/>
                <w:sz w:val="20"/>
                <w:szCs w:val="20"/>
              </w:rPr>
              <w:t xml:space="preserve">The minimum liquidity requirements required by our Trust Deed </w:t>
            </w:r>
          </w:p>
          <w:p w14:paraId="47EAC031" w14:textId="77777777" w:rsidR="00543335" w:rsidRPr="001F5F82" w:rsidRDefault="00543335" w:rsidP="00543335">
            <w:pPr>
              <w:autoSpaceDE w:val="0"/>
              <w:autoSpaceDN w:val="0"/>
              <w:adjustRightInd w:val="0"/>
              <w:rPr>
                <w:rFonts w:ascii="Arial" w:eastAsia="TimesNewRomanPSMT-Identity-H" w:hAnsi="Arial" w:cs="TimesNewRomanPSMT-Identity-H"/>
                <w:b/>
                <w:sz w:val="20"/>
                <w:szCs w:val="20"/>
              </w:rPr>
            </w:pPr>
          </w:p>
        </w:tc>
        <w:tc>
          <w:tcPr>
            <w:tcW w:w="1035" w:type="pct"/>
            <w:vAlign w:val="center"/>
          </w:tcPr>
          <w:p w14:paraId="13DBE534" w14:textId="77777777" w:rsidR="00543335" w:rsidRPr="001F5F82" w:rsidRDefault="00543335" w:rsidP="00543335">
            <w:pPr>
              <w:autoSpaceDE w:val="0"/>
              <w:autoSpaceDN w:val="0"/>
              <w:adjustRightInd w:val="0"/>
              <w:jc w:val="center"/>
              <w:rPr>
                <w:rFonts w:ascii="Arial" w:eastAsia="TimesNewRomanPSMT-Identity-H" w:hAnsi="Arial" w:cs="TimesNewRomanPSMT-Identity-H"/>
                <w:sz w:val="20"/>
                <w:szCs w:val="20"/>
              </w:rPr>
            </w:pPr>
            <w:r w:rsidRPr="001F5F82">
              <w:rPr>
                <w:rFonts w:ascii="Arial" w:eastAsia="TimesNewRomanPSMT-Identity-H" w:hAnsi="Arial" w:cs="TimesNewRomanPSMT-Identity-H"/>
                <w:sz w:val="20"/>
                <w:szCs w:val="20"/>
              </w:rPr>
              <w:t>A liquidity cover ratio of 1.25 times</w:t>
            </w:r>
          </w:p>
        </w:tc>
        <w:tc>
          <w:tcPr>
            <w:tcW w:w="1035" w:type="pct"/>
            <w:vAlign w:val="center"/>
          </w:tcPr>
          <w:p w14:paraId="75F4C7B7" w14:textId="7F0F8DE8" w:rsidR="00543335" w:rsidRPr="001F5F82" w:rsidRDefault="00543335" w:rsidP="00543335">
            <w:pPr>
              <w:autoSpaceDE w:val="0"/>
              <w:autoSpaceDN w:val="0"/>
              <w:adjustRightInd w:val="0"/>
              <w:jc w:val="center"/>
              <w:rPr>
                <w:rFonts w:ascii="Arial" w:eastAsia="TimesNewRomanPSMT-Identity-H" w:hAnsi="Arial" w:cs="TimesNewRomanPSMT-Identity-H"/>
                <w:sz w:val="20"/>
                <w:szCs w:val="20"/>
              </w:rPr>
            </w:pPr>
            <w:r w:rsidRPr="001F5F82">
              <w:rPr>
                <w:rFonts w:ascii="Arial" w:eastAsia="TimesNewRomanPSMT-Identity-H" w:hAnsi="Arial" w:cs="TimesNewRomanPSMT-Identity-H"/>
                <w:sz w:val="20"/>
                <w:szCs w:val="20"/>
              </w:rPr>
              <w:t>A liquidity cover ratio of 1.25 times</w:t>
            </w:r>
          </w:p>
        </w:tc>
        <w:tc>
          <w:tcPr>
            <w:tcW w:w="1035" w:type="pct"/>
            <w:vAlign w:val="center"/>
          </w:tcPr>
          <w:p w14:paraId="4A9EB0CA" w14:textId="057B5D61" w:rsidR="00543335" w:rsidRPr="001F5F82" w:rsidRDefault="00543335" w:rsidP="00543335">
            <w:pPr>
              <w:autoSpaceDE w:val="0"/>
              <w:autoSpaceDN w:val="0"/>
              <w:adjustRightInd w:val="0"/>
              <w:jc w:val="center"/>
              <w:rPr>
                <w:rFonts w:ascii="Arial" w:eastAsia="TimesNewRomanPSMT-Identity-H" w:hAnsi="Arial" w:cs="TimesNewRomanPSMT-Identity-H"/>
                <w:sz w:val="20"/>
                <w:szCs w:val="20"/>
              </w:rPr>
            </w:pPr>
            <w:r w:rsidRPr="001F5F82">
              <w:rPr>
                <w:rFonts w:ascii="Arial" w:eastAsia="TimesNewRomanPSMT-Identity-H" w:hAnsi="Arial" w:cs="TimesNewRomanPSMT-Identity-H"/>
                <w:sz w:val="20"/>
                <w:szCs w:val="20"/>
              </w:rPr>
              <w:t>A liquidity cover ratio of 1.25 times</w:t>
            </w:r>
          </w:p>
        </w:tc>
      </w:tr>
      <w:tr w:rsidR="00B20D3F" w:rsidRPr="001F5F82" w14:paraId="4B0631DD" w14:textId="77777777" w:rsidTr="00C62C60">
        <w:tc>
          <w:tcPr>
            <w:tcW w:w="5000" w:type="pct"/>
            <w:gridSpan w:val="4"/>
          </w:tcPr>
          <w:p w14:paraId="6F54CA34" w14:textId="77777777" w:rsidR="00B20D3F" w:rsidRPr="001F5F82" w:rsidRDefault="00B20D3F" w:rsidP="001F5F82">
            <w:pPr>
              <w:autoSpaceDE w:val="0"/>
              <w:autoSpaceDN w:val="0"/>
              <w:adjustRightInd w:val="0"/>
              <w:rPr>
                <w:rFonts w:ascii="Arial" w:eastAsia="TimesNewRomanPSMT-Identity-H" w:hAnsi="Arial" w:cs="TimesNewRomanPSMT-Identity-H"/>
                <w:sz w:val="16"/>
                <w:szCs w:val="16"/>
              </w:rPr>
            </w:pPr>
          </w:p>
          <w:p w14:paraId="22DE2142" w14:textId="4ED7A581" w:rsidR="00B20D3F" w:rsidRPr="001F5F82" w:rsidRDefault="00B20D3F" w:rsidP="001F5F82">
            <w:pPr>
              <w:autoSpaceDE w:val="0"/>
              <w:autoSpaceDN w:val="0"/>
              <w:adjustRightInd w:val="0"/>
              <w:rPr>
                <w:rFonts w:ascii="Arial" w:eastAsia="TimesNewRomanPSMT-Identity-H" w:hAnsi="Arial" w:cs="TimesNewRomanPSMT-Identity-H"/>
                <w:sz w:val="16"/>
                <w:szCs w:val="16"/>
              </w:rPr>
            </w:pPr>
            <w:r w:rsidRPr="001F5F82">
              <w:rPr>
                <w:rFonts w:ascii="Arial" w:eastAsia="TimesNewRomanPSMT-Identity-H" w:hAnsi="Arial" w:cs="TimesNewRomanPSMT-Identity-H"/>
                <w:sz w:val="16"/>
                <w:szCs w:val="16"/>
              </w:rPr>
              <w:t xml:space="preserve">Liquidity requirements help to ensure that General Finance has sufficient realisable assets on hand to pay its debts as they become due in the ordinary course of business. Failure to comply with liquidity requirements may mean that General Finance is unable to repay investors on </w:t>
            </w:r>
            <w:r w:rsidR="007C7B00" w:rsidRPr="001F5F82">
              <w:rPr>
                <w:rFonts w:ascii="Arial" w:eastAsia="TimesNewRomanPSMT-Identity-H" w:hAnsi="Arial" w:cs="TimesNewRomanPSMT-Identity-H"/>
                <w:sz w:val="16"/>
                <w:szCs w:val="16"/>
              </w:rPr>
              <w:t>time and</w:t>
            </w:r>
            <w:r w:rsidRPr="001F5F82">
              <w:rPr>
                <w:rFonts w:ascii="Arial" w:eastAsia="TimesNewRomanPSMT-Identity-H" w:hAnsi="Arial" w:cs="TimesNewRomanPSMT-Identity-H"/>
                <w:sz w:val="16"/>
                <w:szCs w:val="16"/>
              </w:rPr>
              <w:t xml:space="preserve"> may indicate other financial problems in its business.</w:t>
            </w:r>
          </w:p>
          <w:p w14:paraId="3EAE97E6" w14:textId="77777777" w:rsidR="00B20D3F" w:rsidRPr="001F5F82" w:rsidRDefault="00B20D3F" w:rsidP="001F5F82">
            <w:pPr>
              <w:autoSpaceDE w:val="0"/>
              <w:autoSpaceDN w:val="0"/>
              <w:adjustRightInd w:val="0"/>
              <w:jc w:val="center"/>
              <w:rPr>
                <w:rFonts w:ascii="Arial" w:eastAsia="TimesNewRomanPSMT-Identity-H" w:hAnsi="Arial" w:cs="TimesNewRomanPSMT-Identity-H"/>
                <w:sz w:val="16"/>
                <w:szCs w:val="16"/>
              </w:rPr>
            </w:pPr>
          </w:p>
        </w:tc>
      </w:tr>
    </w:tbl>
    <w:p w14:paraId="47B3C6EC" w14:textId="1D3D27B2" w:rsidR="004D478F" w:rsidRDefault="004D478F" w:rsidP="0006682A">
      <w:pPr>
        <w:rPr>
          <w:rFonts w:ascii="Arial" w:eastAsia="TimesNewRomanPSMT-Identity-H" w:hAnsi="Arial" w:cs="TimesNewRomanPSMT-Identity-H"/>
          <w:b/>
          <w:sz w:val="20"/>
          <w:szCs w:val="20"/>
        </w:rPr>
      </w:pPr>
    </w:p>
    <w:p w14:paraId="4E289E3F" w14:textId="074BB4C7" w:rsidR="00C62C60" w:rsidRDefault="00C62C60" w:rsidP="0006682A">
      <w:pPr>
        <w:rPr>
          <w:rFonts w:ascii="Arial" w:eastAsia="TimesNewRomanPSMT-Identity-H" w:hAnsi="Arial" w:cs="TimesNewRomanPSMT-Identity-H"/>
          <w:b/>
          <w:sz w:val="20"/>
          <w:szCs w:val="20"/>
        </w:rPr>
      </w:pPr>
    </w:p>
    <w:p w14:paraId="315BF703" w14:textId="77777777" w:rsidR="00C62C60" w:rsidRDefault="00C62C60" w:rsidP="00C62C60">
      <w:pPr>
        <w:autoSpaceDE w:val="0"/>
        <w:autoSpaceDN w:val="0"/>
        <w:adjustRightInd w:val="0"/>
        <w:rPr>
          <w:rFonts w:ascii="Arial" w:eastAsia="TimesNewRomanPSMT-Identity-H" w:hAnsi="Arial" w:cs="TimesNewRomanPSMT-Identity-H"/>
          <w:sz w:val="16"/>
          <w:szCs w:val="16"/>
        </w:rPr>
      </w:pPr>
      <w:r w:rsidRPr="00A55F81">
        <w:rPr>
          <w:rFonts w:ascii="Arial" w:eastAsia="TimesNewRomanPSMT-Identity-H" w:hAnsi="Arial" w:cs="TimesNewRomanPSMT-Identity-H"/>
          <w:b/>
          <w:sz w:val="20"/>
          <w:szCs w:val="20"/>
          <w:vertAlign w:val="superscript"/>
        </w:rPr>
        <w:t>1</w:t>
      </w:r>
      <w:r w:rsidRPr="009F53BE">
        <w:rPr>
          <w:rFonts w:ascii="Arial" w:eastAsia="TimesNewRomanPSMT-Identity-H" w:hAnsi="Arial" w:cs="TimesNewRomanPSMT-Identity-H"/>
          <w:sz w:val="16"/>
          <w:szCs w:val="16"/>
        </w:rPr>
        <w:t>Deposit Takers (Credit Ratings, Capital Ratios, and Related Party Exposures) Regulations 2010</w:t>
      </w:r>
    </w:p>
    <w:p w14:paraId="7E62DA41" w14:textId="77777777" w:rsidR="00C62C60" w:rsidRDefault="00C62C60" w:rsidP="0006682A">
      <w:pPr>
        <w:rPr>
          <w:rFonts w:ascii="Arial" w:eastAsia="TimesNewRomanPSMT-Identity-H" w:hAnsi="Arial" w:cs="TimesNewRomanPSMT-Identity-H"/>
          <w:b/>
          <w:sz w:val="20"/>
          <w:szCs w:val="20"/>
        </w:rPr>
      </w:pPr>
    </w:p>
    <w:p w14:paraId="56E32B31" w14:textId="77777777" w:rsidR="004D478F" w:rsidRDefault="004D478F" w:rsidP="0006682A">
      <w:pPr>
        <w:rPr>
          <w:rFonts w:ascii="Arial" w:eastAsia="TimesNewRomanPSMT-Identity-H" w:hAnsi="Arial" w:cs="TimesNewRomanPSMT-Identity-H"/>
          <w:b/>
          <w:sz w:val="20"/>
          <w:szCs w:val="20"/>
        </w:rPr>
      </w:pPr>
    </w:p>
    <w:p w14:paraId="0AA3110A" w14:textId="45B38969" w:rsidR="00BD43DC" w:rsidRDefault="00BD43DC" w:rsidP="00BD43DC">
      <w:pPr>
        <w:rPr>
          <w:rFonts w:ascii="Arial" w:eastAsia="TimesNewRomanPSMT-Identity-H" w:hAnsi="Arial" w:cs="TimesNewRomanPSMT-Identity-H"/>
          <w:b/>
          <w:caps/>
          <w:color w:val="000080"/>
          <w:sz w:val="20"/>
          <w:szCs w:val="20"/>
        </w:rPr>
      </w:pPr>
      <w:r>
        <w:rPr>
          <w:rFonts w:ascii="Arial" w:eastAsia="TimesNewRomanPSMT-Identity-H" w:hAnsi="Arial" w:cs="TimesNewRomanPSMT-Identity-H"/>
          <w:b/>
          <w:caps/>
          <w:color w:val="000080"/>
          <w:sz w:val="20"/>
          <w:szCs w:val="20"/>
        </w:rPr>
        <w:lastRenderedPageBreak/>
        <w:t>SELECTED FINANCIAL INFORMATION</w:t>
      </w:r>
    </w:p>
    <w:tbl>
      <w:tblPr>
        <w:tblW w:w="8140" w:type="dxa"/>
        <w:tblLook w:val="04A0" w:firstRow="1" w:lastRow="0" w:firstColumn="1" w:lastColumn="0" w:noHBand="0" w:noVBand="1"/>
      </w:tblPr>
      <w:tblGrid>
        <w:gridCol w:w="4436"/>
        <w:gridCol w:w="1234"/>
        <w:gridCol w:w="1235"/>
        <w:gridCol w:w="1235"/>
      </w:tblGrid>
      <w:tr w:rsidR="00173D48" w14:paraId="36152331" w14:textId="77777777" w:rsidTr="001A4C72">
        <w:trPr>
          <w:trHeight w:val="300"/>
        </w:trPr>
        <w:tc>
          <w:tcPr>
            <w:tcW w:w="4436" w:type="dxa"/>
            <w:vMerge w:val="restart"/>
            <w:tcBorders>
              <w:top w:val="nil"/>
              <w:left w:val="nil"/>
              <w:bottom w:val="nil"/>
              <w:right w:val="nil"/>
            </w:tcBorders>
            <w:shd w:val="clear" w:color="auto" w:fill="auto"/>
            <w:noWrap/>
            <w:vAlign w:val="center"/>
            <w:hideMark/>
          </w:tcPr>
          <w:p w14:paraId="353F75ED" w14:textId="77777777" w:rsidR="00173D48" w:rsidRDefault="00173D48" w:rsidP="00173D48">
            <w:pPr>
              <w:rPr>
                <w:sz w:val="20"/>
                <w:szCs w:val="20"/>
              </w:rPr>
            </w:pPr>
          </w:p>
        </w:tc>
        <w:tc>
          <w:tcPr>
            <w:tcW w:w="1234" w:type="dxa"/>
            <w:tcBorders>
              <w:top w:val="nil"/>
              <w:left w:val="nil"/>
              <w:bottom w:val="nil"/>
              <w:right w:val="nil"/>
            </w:tcBorders>
            <w:shd w:val="clear" w:color="auto" w:fill="auto"/>
            <w:vAlign w:val="center"/>
            <w:hideMark/>
          </w:tcPr>
          <w:p w14:paraId="5E9BCC0E" w14:textId="77777777" w:rsidR="00173D48" w:rsidRPr="003723E3" w:rsidRDefault="00173D48" w:rsidP="00173D48">
            <w:pPr>
              <w:jc w:val="right"/>
              <w:rPr>
                <w:rFonts w:ascii="Arial" w:hAnsi="Arial" w:cs="Arial"/>
                <w:b/>
                <w:bCs/>
                <w:color w:val="000000"/>
                <w:sz w:val="16"/>
                <w:szCs w:val="16"/>
              </w:rPr>
            </w:pPr>
            <w:r w:rsidRPr="003723E3">
              <w:rPr>
                <w:rFonts w:ascii="Arial" w:hAnsi="Arial" w:cs="Arial"/>
                <w:b/>
                <w:bCs/>
                <w:color w:val="000000"/>
                <w:sz w:val="16"/>
                <w:szCs w:val="16"/>
              </w:rPr>
              <w:t>Year</w:t>
            </w:r>
          </w:p>
        </w:tc>
        <w:tc>
          <w:tcPr>
            <w:tcW w:w="1235" w:type="dxa"/>
            <w:tcBorders>
              <w:top w:val="nil"/>
              <w:left w:val="nil"/>
              <w:bottom w:val="nil"/>
              <w:right w:val="nil"/>
            </w:tcBorders>
            <w:shd w:val="clear" w:color="auto" w:fill="auto"/>
            <w:vAlign w:val="center"/>
            <w:hideMark/>
          </w:tcPr>
          <w:p w14:paraId="19F00F74" w14:textId="10BEBF84" w:rsidR="00173D48" w:rsidRDefault="00173D48" w:rsidP="00173D48">
            <w:pPr>
              <w:jc w:val="right"/>
              <w:rPr>
                <w:rFonts w:ascii="Arial" w:hAnsi="Arial" w:cs="Arial"/>
                <w:b/>
                <w:bCs/>
                <w:color w:val="000000"/>
                <w:sz w:val="16"/>
                <w:szCs w:val="16"/>
              </w:rPr>
            </w:pPr>
            <w:r>
              <w:rPr>
                <w:rFonts w:ascii="Arial" w:hAnsi="Arial" w:cs="Arial"/>
                <w:b/>
                <w:bCs/>
                <w:color w:val="000000"/>
                <w:sz w:val="16"/>
                <w:szCs w:val="16"/>
              </w:rPr>
              <w:t>Year</w:t>
            </w:r>
          </w:p>
        </w:tc>
        <w:tc>
          <w:tcPr>
            <w:tcW w:w="1235" w:type="dxa"/>
            <w:tcBorders>
              <w:top w:val="nil"/>
              <w:left w:val="nil"/>
              <w:bottom w:val="nil"/>
              <w:right w:val="nil"/>
            </w:tcBorders>
            <w:shd w:val="clear" w:color="auto" w:fill="auto"/>
            <w:vAlign w:val="center"/>
            <w:hideMark/>
          </w:tcPr>
          <w:p w14:paraId="298D8ADE" w14:textId="4542ED7B" w:rsidR="00173D48" w:rsidRDefault="00173D48" w:rsidP="00173D48">
            <w:pPr>
              <w:jc w:val="right"/>
              <w:rPr>
                <w:rFonts w:ascii="Arial" w:hAnsi="Arial" w:cs="Arial"/>
                <w:b/>
                <w:bCs/>
                <w:color w:val="000000"/>
                <w:sz w:val="16"/>
                <w:szCs w:val="16"/>
              </w:rPr>
            </w:pPr>
            <w:r>
              <w:rPr>
                <w:rFonts w:ascii="Arial" w:hAnsi="Arial" w:cs="Arial"/>
                <w:b/>
                <w:bCs/>
                <w:color w:val="000000"/>
                <w:sz w:val="16"/>
                <w:szCs w:val="16"/>
              </w:rPr>
              <w:t>Year</w:t>
            </w:r>
          </w:p>
        </w:tc>
      </w:tr>
      <w:tr w:rsidR="00173D48" w14:paraId="082A4450" w14:textId="77777777" w:rsidTr="001A4C72">
        <w:trPr>
          <w:trHeight w:val="300"/>
        </w:trPr>
        <w:tc>
          <w:tcPr>
            <w:tcW w:w="4436" w:type="dxa"/>
            <w:vMerge/>
            <w:tcBorders>
              <w:top w:val="nil"/>
              <w:left w:val="nil"/>
              <w:bottom w:val="nil"/>
              <w:right w:val="nil"/>
            </w:tcBorders>
            <w:vAlign w:val="center"/>
            <w:hideMark/>
          </w:tcPr>
          <w:p w14:paraId="63F3DFA6" w14:textId="77777777" w:rsidR="00173D48" w:rsidRDefault="00173D48" w:rsidP="00173D48">
            <w:pPr>
              <w:rPr>
                <w:sz w:val="20"/>
                <w:szCs w:val="20"/>
              </w:rPr>
            </w:pPr>
          </w:p>
        </w:tc>
        <w:tc>
          <w:tcPr>
            <w:tcW w:w="1234" w:type="dxa"/>
            <w:tcBorders>
              <w:top w:val="nil"/>
              <w:left w:val="nil"/>
              <w:bottom w:val="nil"/>
              <w:right w:val="nil"/>
            </w:tcBorders>
            <w:shd w:val="clear" w:color="auto" w:fill="auto"/>
            <w:vAlign w:val="center"/>
            <w:hideMark/>
          </w:tcPr>
          <w:p w14:paraId="1DD7BCC5" w14:textId="77777777" w:rsidR="00173D48" w:rsidRPr="003723E3" w:rsidRDefault="00173D48" w:rsidP="00173D48">
            <w:pPr>
              <w:jc w:val="right"/>
              <w:rPr>
                <w:rFonts w:ascii="Arial" w:hAnsi="Arial" w:cs="Arial"/>
                <w:b/>
                <w:bCs/>
                <w:color w:val="000000"/>
                <w:sz w:val="16"/>
                <w:szCs w:val="16"/>
              </w:rPr>
            </w:pPr>
            <w:r w:rsidRPr="003723E3">
              <w:rPr>
                <w:rFonts w:ascii="Arial" w:hAnsi="Arial" w:cs="Arial"/>
                <w:b/>
                <w:bCs/>
                <w:color w:val="000000"/>
                <w:sz w:val="16"/>
                <w:szCs w:val="16"/>
              </w:rPr>
              <w:t>Ended</w:t>
            </w:r>
          </w:p>
        </w:tc>
        <w:tc>
          <w:tcPr>
            <w:tcW w:w="1235" w:type="dxa"/>
            <w:tcBorders>
              <w:top w:val="nil"/>
              <w:left w:val="nil"/>
              <w:bottom w:val="nil"/>
              <w:right w:val="nil"/>
            </w:tcBorders>
            <w:shd w:val="clear" w:color="auto" w:fill="auto"/>
            <w:vAlign w:val="center"/>
            <w:hideMark/>
          </w:tcPr>
          <w:p w14:paraId="7871A6C2" w14:textId="396AFB08" w:rsidR="00173D48" w:rsidRDefault="00173D48" w:rsidP="00173D48">
            <w:pPr>
              <w:jc w:val="right"/>
              <w:rPr>
                <w:rFonts w:ascii="Arial" w:hAnsi="Arial" w:cs="Arial"/>
                <w:b/>
                <w:bCs/>
                <w:color w:val="000000"/>
                <w:sz w:val="16"/>
                <w:szCs w:val="16"/>
              </w:rPr>
            </w:pPr>
            <w:r>
              <w:rPr>
                <w:rFonts w:ascii="Arial" w:hAnsi="Arial" w:cs="Arial"/>
                <w:b/>
                <w:bCs/>
                <w:color w:val="000000"/>
                <w:sz w:val="16"/>
                <w:szCs w:val="16"/>
              </w:rPr>
              <w:t>Ended</w:t>
            </w:r>
          </w:p>
        </w:tc>
        <w:tc>
          <w:tcPr>
            <w:tcW w:w="1235" w:type="dxa"/>
            <w:tcBorders>
              <w:top w:val="nil"/>
              <w:left w:val="nil"/>
              <w:bottom w:val="nil"/>
              <w:right w:val="nil"/>
            </w:tcBorders>
            <w:shd w:val="clear" w:color="auto" w:fill="auto"/>
            <w:vAlign w:val="center"/>
            <w:hideMark/>
          </w:tcPr>
          <w:p w14:paraId="3B174E79" w14:textId="56940B83" w:rsidR="00173D48" w:rsidRDefault="00173D48" w:rsidP="00173D48">
            <w:pPr>
              <w:jc w:val="right"/>
              <w:rPr>
                <w:rFonts w:ascii="Arial" w:hAnsi="Arial" w:cs="Arial"/>
                <w:b/>
                <w:bCs/>
                <w:color w:val="000000"/>
                <w:sz w:val="16"/>
                <w:szCs w:val="16"/>
              </w:rPr>
            </w:pPr>
            <w:r>
              <w:rPr>
                <w:rFonts w:ascii="Arial" w:hAnsi="Arial" w:cs="Arial"/>
                <w:b/>
                <w:bCs/>
                <w:color w:val="000000"/>
                <w:sz w:val="16"/>
                <w:szCs w:val="16"/>
              </w:rPr>
              <w:t>Ended</w:t>
            </w:r>
          </w:p>
        </w:tc>
      </w:tr>
      <w:tr w:rsidR="00173D48" w14:paraId="7D5C73B4" w14:textId="77777777" w:rsidTr="001A4C72">
        <w:trPr>
          <w:trHeight w:val="300"/>
        </w:trPr>
        <w:tc>
          <w:tcPr>
            <w:tcW w:w="4436" w:type="dxa"/>
            <w:vMerge/>
            <w:tcBorders>
              <w:top w:val="nil"/>
              <w:left w:val="nil"/>
              <w:bottom w:val="nil"/>
              <w:right w:val="nil"/>
            </w:tcBorders>
            <w:vAlign w:val="center"/>
            <w:hideMark/>
          </w:tcPr>
          <w:p w14:paraId="588B680F" w14:textId="77777777" w:rsidR="00173D48" w:rsidRDefault="00173D48" w:rsidP="00173D48">
            <w:pPr>
              <w:rPr>
                <w:sz w:val="20"/>
                <w:szCs w:val="20"/>
              </w:rPr>
            </w:pPr>
          </w:p>
        </w:tc>
        <w:tc>
          <w:tcPr>
            <w:tcW w:w="1234" w:type="dxa"/>
            <w:tcBorders>
              <w:top w:val="nil"/>
              <w:left w:val="nil"/>
              <w:bottom w:val="nil"/>
              <w:right w:val="nil"/>
            </w:tcBorders>
            <w:shd w:val="clear" w:color="auto" w:fill="auto"/>
            <w:vAlign w:val="center"/>
            <w:hideMark/>
          </w:tcPr>
          <w:p w14:paraId="7723EDB9" w14:textId="01AC085A" w:rsidR="00173D48" w:rsidRPr="003723E3" w:rsidRDefault="00173D48" w:rsidP="00173D48">
            <w:pPr>
              <w:jc w:val="right"/>
              <w:rPr>
                <w:rFonts w:ascii="Arial" w:hAnsi="Arial" w:cs="Arial"/>
                <w:b/>
                <w:bCs/>
                <w:color w:val="000000"/>
                <w:sz w:val="16"/>
                <w:szCs w:val="16"/>
              </w:rPr>
            </w:pPr>
            <w:r w:rsidRPr="003723E3">
              <w:rPr>
                <w:rFonts w:ascii="Arial" w:hAnsi="Arial" w:cs="Arial"/>
                <w:b/>
                <w:bCs/>
                <w:color w:val="000000"/>
                <w:sz w:val="16"/>
                <w:szCs w:val="16"/>
              </w:rPr>
              <w:t>31 Mar 2</w:t>
            </w:r>
            <w:r w:rsidR="008B0CA0" w:rsidRPr="003723E3">
              <w:rPr>
                <w:rFonts w:ascii="Arial" w:hAnsi="Arial" w:cs="Arial"/>
                <w:b/>
                <w:bCs/>
                <w:color w:val="000000"/>
                <w:sz w:val="16"/>
                <w:szCs w:val="16"/>
              </w:rPr>
              <w:t>3</w:t>
            </w:r>
          </w:p>
        </w:tc>
        <w:tc>
          <w:tcPr>
            <w:tcW w:w="1235" w:type="dxa"/>
            <w:tcBorders>
              <w:top w:val="nil"/>
              <w:left w:val="nil"/>
              <w:bottom w:val="nil"/>
              <w:right w:val="nil"/>
            </w:tcBorders>
            <w:shd w:val="clear" w:color="auto" w:fill="auto"/>
            <w:vAlign w:val="center"/>
            <w:hideMark/>
          </w:tcPr>
          <w:p w14:paraId="3863D016" w14:textId="2251EEE9" w:rsidR="00173D48" w:rsidRDefault="00173D48" w:rsidP="00173D48">
            <w:pPr>
              <w:jc w:val="right"/>
              <w:rPr>
                <w:rFonts w:ascii="Arial" w:hAnsi="Arial" w:cs="Arial"/>
                <w:b/>
                <w:bCs/>
                <w:color w:val="000000"/>
                <w:sz w:val="16"/>
                <w:szCs w:val="16"/>
              </w:rPr>
            </w:pPr>
            <w:r>
              <w:rPr>
                <w:rFonts w:ascii="Arial" w:hAnsi="Arial" w:cs="Arial"/>
                <w:b/>
                <w:bCs/>
                <w:color w:val="000000"/>
                <w:sz w:val="16"/>
                <w:szCs w:val="16"/>
              </w:rPr>
              <w:t>31 Mar 2</w:t>
            </w:r>
            <w:r w:rsidR="008B0CA0">
              <w:rPr>
                <w:rFonts w:ascii="Arial" w:hAnsi="Arial" w:cs="Arial"/>
                <w:b/>
                <w:bCs/>
                <w:color w:val="000000"/>
                <w:sz w:val="16"/>
                <w:szCs w:val="16"/>
              </w:rPr>
              <w:t>2</w:t>
            </w:r>
          </w:p>
        </w:tc>
        <w:tc>
          <w:tcPr>
            <w:tcW w:w="1235" w:type="dxa"/>
            <w:tcBorders>
              <w:top w:val="nil"/>
              <w:left w:val="nil"/>
              <w:bottom w:val="nil"/>
              <w:right w:val="nil"/>
            </w:tcBorders>
            <w:shd w:val="clear" w:color="auto" w:fill="auto"/>
            <w:vAlign w:val="center"/>
            <w:hideMark/>
          </w:tcPr>
          <w:p w14:paraId="6832BBD3" w14:textId="0DECFA29" w:rsidR="00173D48" w:rsidRDefault="00173D48" w:rsidP="00173D48">
            <w:pPr>
              <w:jc w:val="right"/>
              <w:rPr>
                <w:rFonts w:ascii="Arial" w:hAnsi="Arial" w:cs="Arial"/>
                <w:b/>
                <w:bCs/>
                <w:color w:val="000000"/>
                <w:sz w:val="16"/>
                <w:szCs w:val="16"/>
              </w:rPr>
            </w:pPr>
            <w:r>
              <w:rPr>
                <w:rFonts w:ascii="Arial" w:hAnsi="Arial" w:cs="Arial"/>
                <w:b/>
                <w:bCs/>
                <w:color w:val="000000"/>
                <w:sz w:val="16"/>
                <w:szCs w:val="16"/>
              </w:rPr>
              <w:t>31 Mar 2</w:t>
            </w:r>
            <w:r w:rsidR="008B0CA0">
              <w:rPr>
                <w:rFonts w:ascii="Arial" w:hAnsi="Arial" w:cs="Arial"/>
                <w:b/>
                <w:bCs/>
                <w:color w:val="000000"/>
                <w:sz w:val="16"/>
                <w:szCs w:val="16"/>
              </w:rPr>
              <w:t>1</w:t>
            </w:r>
          </w:p>
        </w:tc>
      </w:tr>
      <w:tr w:rsidR="00173D48" w14:paraId="39F5369B" w14:textId="77777777" w:rsidTr="001A4C72">
        <w:trPr>
          <w:trHeight w:val="300"/>
        </w:trPr>
        <w:tc>
          <w:tcPr>
            <w:tcW w:w="4436" w:type="dxa"/>
            <w:vMerge/>
            <w:tcBorders>
              <w:top w:val="nil"/>
              <w:left w:val="nil"/>
              <w:bottom w:val="nil"/>
              <w:right w:val="nil"/>
            </w:tcBorders>
            <w:vAlign w:val="center"/>
            <w:hideMark/>
          </w:tcPr>
          <w:p w14:paraId="5ECFA95D" w14:textId="77777777" w:rsidR="00173D48" w:rsidRDefault="00173D48" w:rsidP="00173D48">
            <w:pPr>
              <w:rPr>
                <w:sz w:val="20"/>
                <w:szCs w:val="20"/>
              </w:rPr>
            </w:pPr>
          </w:p>
        </w:tc>
        <w:tc>
          <w:tcPr>
            <w:tcW w:w="1234" w:type="dxa"/>
            <w:tcBorders>
              <w:top w:val="nil"/>
              <w:left w:val="nil"/>
              <w:bottom w:val="nil"/>
              <w:right w:val="nil"/>
            </w:tcBorders>
            <w:shd w:val="clear" w:color="auto" w:fill="auto"/>
            <w:vAlign w:val="center"/>
            <w:hideMark/>
          </w:tcPr>
          <w:p w14:paraId="5FA1410E" w14:textId="77777777" w:rsidR="00173D48" w:rsidRPr="003723E3" w:rsidRDefault="00173D48" w:rsidP="00173D48">
            <w:pPr>
              <w:jc w:val="right"/>
              <w:rPr>
                <w:rFonts w:ascii="Arial" w:hAnsi="Arial" w:cs="Arial"/>
                <w:b/>
                <w:bCs/>
                <w:color w:val="000000"/>
                <w:sz w:val="16"/>
                <w:szCs w:val="16"/>
              </w:rPr>
            </w:pPr>
            <w:r w:rsidRPr="003723E3">
              <w:rPr>
                <w:rFonts w:ascii="Arial" w:hAnsi="Arial" w:cs="Arial"/>
                <w:b/>
                <w:bCs/>
                <w:color w:val="000000"/>
                <w:sz w:val="16"/>
                <w:szCs w:val="16"/>
              </w:rPr>
              <w:t>(Audited)</w:t>
            </w:r>
          </w:p>
        </w:tc>
        <w:tc>
          <w:tcPr>
            <w:tcW w:w="1235" w:type="dxa"/>
            <w:tcBorders>
              <w:top w:val="nil"/>
              <w:left w:val="nil"/>
              <w:bottom w:val="nil"/>
              <w:right w:val="nil"/>
            </w:tcBorders>
            <w:shd w:val="clear" w:color="auto" w:fill="auto"/>
            <w:vAlign w:val="center"/>
            <w:hideMark/>
          </w:tcPr>
          <w:p w14:paraId="4849A1FC" w14:textId="7D030EE8" w:rsidR="00173D48" w:rsidRDefault="00173D48" w:rsidP="00173D48">
            <w:pPr>
              <w:jc w:val="right"/>
              <w:rPr>
                <w:rFonts w:ascii="Arial" w:hAnsi="Arial" w:cs="Arial"/>
                <w:b/>
                <w:bCs/>
                <w:color w:val="000000"/>
                <w:sz w:val="16"/>
                <w:szCs w:val="16"/>
              </w:rPr>
            </w:pPr>
            <w:r>
              <w:rPr>
                <w:rFonts w:ascii="Arial" w:hAnsi="Arial" w:cs="Arial"/>
                <w:b/>
                <w:bCs/>
                <w:color w:val="000000"/>
                <w:sz w:val="16"/>
                <w:szCs w:val="16"/>
              </w:rPr>
              <w:t>(Audited)</w:t>
            </w:r>
          </w:p>
        </w:tc>
        <w:tc>
          <w:tcPr>
            <w:tcW w:w="1235" w:type="dxa"/>
            <w:tcBorders>
              <w:top w:val="nil"/>
              <w:left w:val="nil"/>
              <w:bottom w:val="nil"/>
              <w:right w:val="nil"/>
            </w:tcBorders>
            <w:shd w:val="clear" w:color="auto" w:fill="auto"/>
            <w:vAlign w:val="center"/>
            <w:hideMark/>
          </w:tcPr>
          <w:p w14:paraId="4BD8099A" w14:textId="6EA68946" w:rsidR="00173D48" w:rsidRDefault="00173D48" w:rsidP="00173D48">
            <w:pPr>
              <w:jc w:val="right"/>
              <w:rPr>
                <w:rFonts w:ascii="Arial" w:hAnsi="Arial" w:cs="Arial"/>
                <w:b/>
                <w:bCs/>
                <w:color w:val="000000"/>
                <w:sz w:val="16"/>
                <w:szCs w:val="16"/>
              </w:rPr>
            </w:pPr>
            <w:r>
              <w:rPr>
                <w:rFonts w:ascii="Arial" w:hAnsi="Arial" w:cs="Arial"/>
                <w:b/>
                <w:bCs/>
                <w:color w:val="000000"/>
                <w:sz w:val="16"/>
                <w:szCs w:val="16"/>
              </w:rPr>
              <w:t>(Audited)</w:t>
            </w:r>
          </w:p>
        </w:tc>
      </w:tr>
      <w:tr w:rsidR="00173D48" w14:paraId="10A4E978" w14:textId="77777777" w:rsidTr="001A4C72">
        <w:trPr>
          <w:trHeight w:val="300"/>
        </w:trPr>
        <w:tc>
          <w:tcPr>
            <w:tcW w:w="4436" w:type="dxa"/>
            <w:vMerge/>
            <w:tcBorders>
              <w:top w:val="nil"/>
              <w:left w:val="nil"/>
              <w:bottom w:val="nil"/>
              <w:right w:val="nil"/>
            </w:tcBorders>
            <w:vAlign w:val="center"/>
            <w:hideMark/>
          </w:tcPr>
          <w:p w14:paraId="0F3CB419" w14:textId="77777777" w:rsidR="00173D48" w:rsidRDefault="00173D48" w:rsidP="00173D48">
            <w:pPr>
              <w:rPr>
                <w:sz w:val="20"/>
                <w:szCs w:val="20"/>
              </w:rPr>
            </w:pPr>
          </w:p>
        </w:tc>
        <w:tc>
          <w:tcPr>
            <w:tcW w:w="1234" w:type="dxa"/>
            <w:tcBorders>
              <w:top w:val="nil"/>
              <w:left w:val="nil"/>
              <w:bottom w:val="nil"/>
              <w:right w:val="nil"/>
            </w:tcBorders>
            <w:shd w:val="clear" w:color="auto" w:fill="auto"/>
            <w:vAlign w:val="center"/>
            <w:hideMark/>
          </w:tcPr>
          <w:p w14:paraId="26D5EA1E" w14:textId="77777777" w:rsidR="00173D48" w:rsidRDefault="00173D48" w:rsidP="00173D48">
            <w:pPr>
              <w:jc w:val="right"/>
              <w:rPr>
                <w:rFonts w:ascii="Arial" w:hAnsi="Arial" w:cs="Arial"/>
                <w:b/>
                <w:bCs/>
                <w:color w:val="000000"/>
                <w:sz w:val="16"/>
                <w:szCs w:val="16"/>
              </w:rPr>
            </w:pPr>
            <w:r>
              <w:rPr>
                <w:rFonts w:ascii="Arial" w:hAnsi="Arial" w:cs="Arial"/>
                <w:b/>
                <w:bCs/>
                <w:color w:val="000000"/>
                <w:sz w:val="16"/>
                <w:szCs w:val="16"/>
              </w:rPr>
              <w:t>$</w:t>
            </w:r>
          </w:p>
        </w:tc>
        <w:tc>
          <w:tcPr>
            <w:tcW w:w="1235" w:type="dxa"/>
            <w:tcBorders>
              <w:top w:val="nil"/>
              <w:left w:val="nil"/>
              <w:bottom w:val="nil"/>
              <w:right w:val="nil"/>
            </w:tcBorders>
            <w:shd w:val="clear" w:color="auto" w:fill="auto"/>
            <w:vAlign w:val="center"/>
            <w:hideMark/>
          </w:tcPr>
          <w:p w14:paraId="77833BDD" w14:textId="76004230" w:rsidR="00173D48" w:rsidRDefault="00173D48" w:rsidP="00173D48">
            <w:pPr>
              <w:jc w:val="right"/>
              <w:rPr>
                <w:rFonts w:ascii="Arial" w:hAnsi="Arial" w:cs="Arial"/>
                <w:b/>
                <w:bCs/>
                <w:color w:val="000000"/>
                <w:sz w:val="16"/>
                <w:szCs w:val="16"/>
              </w:rPr>
            </w:pPr>
            <w:r>
              <w:rPr>
                <w:rFonts w:ascii="Arial" w:hAnsi="Arial" w:cs="Arial"/>
                <w:b/>
                <w:bCs/>
                <w:color w:val="000000"/>
                <w:sz w:val="16"/>
                <w:szCs w:val="16"/>
              </w:rPr>
              <w:t>$</w:t>
            </w:r>
          </w:p>
        </w:tc>
        <w:tc>
          <w:tcPr>
            <w:tcW w:w="1235" w:type="dxa"/>
            <w:tcBorders>
              <w:top w:val="nil"/>
              <w:left w:val="nil"/>
              <w:bottom w:val="nil"/>
              <w:right w:val="nil"/>
            </w:tcBorders>
            <w:shd w:val="clear" w:color="auto" w:fill="auto"/>
            <w:vAlign w:val="center"/>
            <w:hideMark/>
          </w:tcPr>
          <w:p w14:paraId="009C8B9E" w14:textId="03F73831" w:rsidR="00173D48" w:rsidRDefault="00173D48" w:rsidP="00173D48">
            <w:pPr>
              <w:jc w:val="right"/>
              <w:rPr>
                <w:rFonts w:ascii="Arial" w:hAnsi="Arial" w:cs="Arial"/>
                <w:b/>
                <w:bCs/>
                <w:color w:val="000000"/>
                <w:sz w:val="16"/>
                <w:szCs w:val="16"/>
              </w:rPr>
            </w:pPr>
            <w:r>
              <w:rPr>
                <w:rFonts w:ascii="Arial" w:hAnsi="Arial" w:cs="Arial"/>
                <w:b/>
                <w:bCs/>
                <w:color w:val="000000"/>
                <w:sz w:val="16"/>
                <w:szCs w:val="16"/>
              </w:rPr>
              <w:t>$</w:t>
            </w:r>
          </w:p>
        </w:tc>
      </w:tr>
      <w:tr w:rsidR="00173D48" w14:paraId="520B4287" w14:textId="77777777" w:rsidTr="001A4C72">
        <w:trPr>
          <w:trHeight w:val="300"/>
        </w:trPr>
        <w:tc>
          <w:tcPr>
            <w:tcW w:w="4436" w:type="dxa"/>
            <w:tcBorders>
              <w:top w:val="nil"/>
              <w:left w:val="nil"/>
              <w:bottom w:val="nil"/>
              <w:right w:val="nil"/>
            </w:tcBorders>
            <w:shd w:val="clear" w:color="auto" w:fill="auto"/>
            <w:vAlign w:val="center"/>
            <w:hideMark/>
          </w:tcPr>
          <w:p w14:paraId="219D557F" w14:textId="77777777" w:rsidR="00173D48" w:rsidRDefault="00173D48" w:rsidP="00173D48">
            <w:pPr>
              <w:rPr>
                <w:rFonts w:ascii="Arial" w:hAnsi="Arial" w:cs="Arial"/>
                <w:b/>
                <w:bCs/>
                <w:color w:val="000000"/>
                <w:sz w:val="16"/>
                <w:szCs w:val="16"/>
              </w:rPr>
            </w:pPr>
            <w:r>
              <w:rPr>
                <w:rFonts w:ascii="Arial" w:hAnsi="Arial" w:cs="Arial"/>
                <w:b/>
                <w:bCs/>
                <w:color w:val="000000"/>
                <w:sz w:val="16"/>
                <w:szCs w:val="16"/>
              </w:rPr>
              <w:t>STATEMENT OF COMPREHENSIVE INCOME (EXTRACT)</w:t>
            </w:r>
          </w:p>
        </w:tc>
        <w:tc>
          <w:tcPr>
            <w:tcW w:w="1234" w:type="dxa"/>
            <w:tcBorders>
              <w:top w:val="nil"/>
              <w:left w:val="nil"/>
              <w:bottom w:val="nil"/>
              <w:right w:val="nil"/>
            </w:tcBorders>
            <w:shd w:val="clear" w:color="auto" w:fill="auto"/>
            <w:vAlign w:val="center"/>
            <w:hideMark/>
          </w:tcPr>
          <w:p w14:paraId="2BE5B142" w14:textId="77777777" w:rsidR="00173D48" w:rsidRDefault="00173D48" w:rsidP="00173D48">
            <w:pPr>
              <w:rPr>
                <w:rFonts w:ascii="Arial" w:hAnsi="Arial" w:cs="Arial"/>
                <w:b/>
                <w:bCs/>
                <w:color w:val="000000"/>
                <w:sz w:val="16"/>
                <w:szCs w:val="16"/>
              </w:rPr>
            </w:pPr>
          </w:p>
        </w:tc>
        <w:tc>
          <w:tcPr>
            <w:tcW w:w="1235" w:type="dxa"/>
            <w:tcBorders>
              <w:top w:val="nil"/>
              <w:left w:val="nil"/>
              <w:bottom w:val="nil"/>
              <w:right w:val="nil"/>
            </w:tcBorders>
            <w:shd w:val="clear" w:color="auto" w:fill="auto"/>
            <w:vAlign w:val="center"/>
            <w:hideMark/>
          </w:tcPr>
          <w:p w14:paraId="25CDF114" w14:textId="77777777" w:rsidR="00173D48" w:rsidRDefault="00173D48" w:rsidP="00173D48">
            <w:pPr>
              <w:rPr>
                <w:sz w:val="20"/>
                <w:szCs w:val="20"/>
              </w:rPr>
            </w:pPr>
          </w:p>
        </w:tc>
        <w:tc>
          <w:tcPr>
            <w:tcW w:w="1235" w:type="dxa"/>
            <w:tcBorders>
              <w:top w:val="nil"/>
              <w:left w:val="nil"/>
              <w:bottom w:val="nil"/>
              <w:right w:val="nil"/>
            </w:tcBorders>
            <w:shd w:val="clear" w:color="auto" w:fill="auto"/>
            <w:vAlign w:val="center"/>
            <w:hideMark/>
          </w:tcPr>
          <w:p w14:paraId="68A66205" w14:textId="77777777" w:rsidR="00173D48" w:rsidRDefault="00173D48" w:rsidP="00173D48">
            <w:pPr>
              <w:rPr>
                <w:sz w:val="20"/>
                <w:szCs w:val="20"/>
              </w:rPr>
            </w:pPr>
          </w:p>
        </w:tc>
      </w:tr>
      <w:tr w:rsidR="00B43D57" w14:paraId="6FD49CC7" w14:textId="77777777" w:rsidTr="001A4C72">
        <w:trPr>
          <w:trHeight w:val="300"/>
        </w:trPr>
        <w:tc>
          <w:tcPr>
            <w:tcW w:w="4436" w:type="dxa"/>
            <w:tcBorders>
              <w:top w:val="nil"/>
              <w:left w:val="nil"/>
              <w:bottom w:val="nil"/>
              <w:right w:val="nil"/>
            </w:tcBorders>
            <w:shd w:val="clear" w:color="auto" w:fill="auto"/>
            <w:noWrap/>
            <w:vAlign w:val="center"/>
            <w:hideMark/>
          </w:tcPr>
          <w:p w14:paraId="15041BFF" w14:textId="77777777" w:rsidR="00B43D57" w:rsidRDefault="00B43D57" w:rsidP="00B43D57">
            <w:pPr>
              <w:rPr>
                <w:rFonts w:ascii="Arial" w:hAnsi="Arial" w:cs="Arial"/>
                <w:color w:val="000000"/>
                <w:sz w:val="16"/>
                <w:szCs w:val="16"/>
              </w:rPr>
            </w:pPr>
            <w:r>
              <w:rPr>
                <w:rFonts w:ascii="Arial" w:hAnsi="Arial" w:cs="Arial"/>
                <w:color w:val="000000"/>
                <w:sz w:val="16"/>
                <w:szCs w:val="16"/>
              </w:rPr>
              <w:t xml:space="preserve">Total interest, </w:t>
            </w:r>
            <w:proofErr w:type="gramStart"/>
            <w:r>
              <w:rPr>
                <w:rFonts w:ascii="Arial" w:hAnsi="Arial" w:cs="Arial"/>
                <w:color w:val="000000"/>
                <w:sz w:val="16"/>
                <w:szCs w:val="16"/>
              </w:rPr>
              <w:t>fee</w:t>
            </w:r>
            <w:proofErr w:type="gramEnd"/>
            <w:r>
              <w:rPr>
                <w:rFonts w:ascii="Arial" w:hAnsi="Arial" w:cs="Arial"/>
                <w:color w:val="000000"/>
                <w:sz w:val="16"/>
                <w:szCs w:val="16"/>
              </w:rPr>
              <w:t xml:space="preserve"> and commission income</w:t>
            </w:r>
          </w:p>
        </w:tc>
        <w:tc>
          <w:tcPr>
            <w:tcW w:w="1234" w:type="dxa"/>
            <w:tcBorders>
              <w:top w:val="nil"/>
              <w:left w:val="nil"/>
              <w:bottom w:val="nil"/>
              <w:right w:val="nil"/>
            </w:tcBorders>
            <w:shd w:val="clear" w:color="auto" w:fill="auto"/>
            <w:vAlign w:val="center"/>
            <w:hideMark/>
          </w:tcPr>
          <w:p w14:paraId="59B2CF24" w14:textId="635EB0DA" w:rsidR="00B43D57" w:rsidRDefault="00B43D57" w:rsidP="00B43D57">
            <w:pPr>
              <w:jc w:val="right"/>
              <w:rPr>
                <w:rFonts w:ascii="Arial" w:hAnsi="Arial" w:cs="Arial"/>
                <w:color w:val="000000"/>
                <w:sz w:val="16"/>
                <w:szCs w:val="16"/>
              </w:rPr>
            </w:pPr>
            <w:r>
              <w:rPr>
                <w:rFonts w:ascii="Arial" w:hAnsi="Arial" w:cs="Arial"/>
                <w:color w:val="000000"/>
                <w:sz w:val="16"/>
                <w:szCs w:val="16"/>
              </w:rPr>
              <w:t>13,560,197</w:t>
            </w:r>
          </w:p>
        </w:tc>
        <w:tc>
          <w:tcPr>
            <w:tcW w:w="1235" w:type="dxa"/>
            <w:tcBorders>
              <w:top w:val="nil"/>
              <w:left w:val="nil"/>
              <w:bottom w:val="nil"/>
              <w:right w:val="nil"/>
            </w:tcBorders>
            <w:shd w:val="clear" w:color="auto" w:fill="auto"/>
            <w:vAlign w:val="center"/>
            <w:hideMark/>
          </w:tcPr>
          <w:p w14:paraId="3BC17930" w14:textId="442FED48" w:rsidR="00B43D57" w:rsidRDefault="00B43D57" w:rsidP="00B43D57">
            <w:pPr>
              <w:jc w:val="right"/>
              <w:rPr>
                <w:rFonts w:ascii="Arial" w:hAnsi="Arial" w:cs="Arial"/>
                <w:color w:val="000000"/>
                <w:sz w:val="16"/>
                <w:szCs w:val="16"/>
              </w:rPr>
            </w:pPr>
            <w:r>
              <w:rPr>
                <w:rFonts w:ascii="Arial" w:hAnsi="Arial" w:cs="Arial"/>
                <w:color w:val="000000"/>
                <w:sz w:val="16"/>
                <w:szCs w:val="16"/>
              </w:rPr>
              <w:t>7,503,222</w:t>
            </w:r>
          </w:p>
        </w:tc>
        <w:tc>
          <w:tcPr>
            <w:tcW w:w="1235" w:type="dxa"/>
            <w:tcBorders>
              <w:top w:val="nil"/>
              <w:left w:val="nil"/>
              <w:bottom w:val="nil"/>
              <w:right w:val="nil"/>
            </w:tcBorders>
            <w:shd w:val="clear" w:color="auto" w:fill="auto"/>
            <w:vAlign w:val="center"/>
            <w:hideMark/>
          </w:tcPr>
          <w:p w14:paraId="0852E981" w14:textId="32F73B6C" w:rsidR="00B43D57" w:rsidRDefault="00B43D57" w:rsidP="00B43D57">
            <w:pPr>
              <w:jc w:val="right"/>
              <w:rPr>
                <w:rFonts w:ascii="Arial" w:hAnsi="Arial" w:cs="Arial"/>
                <w:color w:val="000000"/>
                <w:sz w:val="16"/>
                <w:szCs w:val="16"/>
              </w:rPr>
            </w:pPr>
            <w:r>
              <w:rPr>
                <w:rFonts w:ascii="Arial" w:hAnsi="Arial" w:cs="Arial"/>
                <w:color w:val="000000"/>
                <w:sz w:val="16"/>
                <w:szCs w:val="16"/>
              </w:rPr>
              <w:t>4,468,796</w:t>
            </w:r>
          </w:p>
        </w:tc>
      </w:tr>
      <w:tr w:rsidR="00B43D57" w14:paraId="7FB2E06C" w14:textId="77777777" w:rsidTr="001A4C72">
        <w:trPr>
          <w:trHeight w:val="300"/>
        </w:trPr>
        <w:tc>
          <w:tcPr>
            <w:tcW w:w="4436" w:type="dxa"/>
            <w:tcBorders>
              <w:top w:val="nil"/>
              <w:left w:val="nil"/>
              <w:bottom w:val="nil"/>
              <w:right w:val="nil"/>
            </w:tcBorders>
            <w:shd w:val="clear" w:color="auto" w:fill="auto"/>
            <w:noWrap/>
            <w:vAlign w:val="center"/>
            <w:hideMark/>
          </w:tcPr>
          <w:p w14:paraId="4A8F70DC" w14:textId="77777777" w:rsidR="00B43D57" w:rsidRDefault="00B43D57" w:rsidP="00B43D57">
            <w:pPr>
              <w:rPr>
                <w:rFonts w:ascii="Arial" w:hAnsi="Arial" w:cs="Arial"/>
                <w:color w:val="000000"/>
                <w:sz w:val="16"/>
                <w:szCs w:val="16"/>
              </w:rPr>
            </w:pPr>
            <w:r>
              <w:rPr>
                <w:rFonts w:ascii="Arial" w:hAnsi="Arial" w:cs="Arial"/>
                <w:color w:val="000000"/>
                <w:sz w:val="16"/>
                <w:szCs w:val="16"/>
              </w:rPr>
              <w:t>Interest expense</w:t>
            </w:r>
          </w:p>
        </w:tc>
        <w:tc>
          <w:tcPr>
            <w:tcW w:w="1234" w:type="dxa"/>
            <w:tcBorders>
              <w:top w:val="nil"/>
              <w:left w:val="nil"/>
              <w:bottom w:val="nil"/>
              <w:right w:val="nil"/>
            </w:tcBorders>
            <w:shd w:val="clear" w:color="auto" w:fill="auto"/>
            <w:vAlign w:val="center"/>
            <w:hideMark/>
          </w:tcPr>
          <w:p w14:paraId="7BE9776B" w14:textId="7C834A92" w:rsidR="00B43D57" w:rsidRDefault="00B43D57" w:rsidP="00B43D57">
            <w:pPr>
              <w:jc w:val="right"/>
              <w:rPr>
                <w:rFonts w:ascii="Arial" w:hAnsi="Arial" w:cs="Arial"/>
                <w:color w:val="000000"/>
                <w:sz w:val="16"/>
                <w:szCs w:val="16"/>
              </w:rPr>
            </w:pPr>
            <w:r>
              <w:rPr>
                <w:rFonts w:ascii="Arial" w:hAnsi="Arial" w:cs="Arial"/>
                <w:color w:val="000000"/>
                <w:sz w:val="16"/>
                <w:szCs w:val="16"/>
              </w:rPr>
              <w:t>5,224,192</w:t>
            </w:r>
          </w:p>
        </w:tc>
        <w:tc>
          <w:tcPr>
            <w:tcW w:w="1235" w:type="dxa"/>
            <w:tcBorders>
              <w:top w:val="nil"/>
              <w:left w:val="nil"/>
              <w:bottom w:val="nil"/>
              <w:right w:val="nil"/>
            </w:tcBorders>
            <w:shd w:val="clear" w:color="auto" w:fill="auto"/>
            <w:vAlign w:val="center"/>
            <w:hideMark/>
          </w:tcPr>
          <w:p w14:paraId="4697395C" w14:textId="5308C94C" w:rsidR="00B43D57" w:rsidRDefault="00B43D57" w:rsidP="00B43D57">
            <w:pPr>
              <w:jc w:val="right"/>
              <w:rPr>
                <w:rFonts w:ascii="Arial" w:hAnsi="Arial" w:cs="Arial"/>
                <w:color w:val="000000"/>
                <w:sz w:val="16"/>
                <w:szCs w:val="16"/>
              </w:rPr>
            </w:pPr>
            <w:r>
              <w:rPr>
                <w:rFonts w:ascii="Arial" w:hAnsi="Arial" w:cs="Arial"/>
                <w:color w:val="000000"/>
                <w:sz w:val="16"/>
                <w:szCs w:val="16"/>
              </w:rPr>
              <w:t>2,970,937</w:t>
            </w:r>
          </w:p>
        </w:tc>
        <w:tc>
          <w:tcPr>
            <w:tcW w:w="1235" w:type="dxa"/>
            <w:tcBorders>
              <w:top w:val="nil"/>
              <w:left w:val="nil"/>
              <w:bottom w:val="nil"/>
              <w:right w:val="nil"/>
            </w:tcBorders>
            <w:shd w:val="clear" w:color="auto" w:fill="auto"/>
            <w:vAlign w:val="center"/>
            <w:hideMark/>
          </w:tcPr>
          <w:p w14:paraId="32805112" w14:textId="3492216E" w:rsidR="00B43D57" w:rsidRDefault="00B43D57" w:rsidP="00B43D57">
            <w:pPr>
              <w:jc w:val="right"/>
              <w:rPr>
                <w:rFonts w:ascii="Arial" w:hAnsi="Arial" w:cs="Arial"/>
                <w:color w:val="000000"/>
                <w:sz w:val="16"/>
                <w:szCs w:val="16"/>
              </w:rPr>
            </w:pPr>
            <w:r>
              <w:rPr>
                <w:rFonts w:ascii="Arial" w:hAnsi="Arial" w:cs="Arial"/>
                <w:color w:val="000000"/>
                <w:sz w:val="16"/>
                <w:szCs w:val="16"/>
              </w:rPr>
              <w:t>2,245,554</w:t>
            </w:r>
          </w:p>
        </w:tc>
      </w:tr>
      <w:tr w:rsidR="00B43D57" w14:paraId="7C65583C" w14:textId="77777777" w:rsidTr="001A4C72">
        <w:trPr>
          <w:trHeight w:val="300"/>
        </w:trPr>
        <w:tc>
          <w:tcPr>
            <w:tcW w:w="4436" w:type="dxa"/>
            <w:tcBorders>
              <w:top w:val="nil"/>
              <w:left w:val="nil"/>
              <w:bottom w:val="nil"/>
              <w:right w:val="nil"/>
            </w:tcBorders>
            <w:shd w:val="clear" w:color="auto" w:fill="auto"/>
            <w:noWrap/>
            <w:vAlign w:val="center"/>
            <w:hideMark/>
          </w:tcPr>
          <w:p w14:paraId="0C589AFB" w14:textId="77777777" w:rsidR="00B43D57" w:rsidRDefault="00B43D57" w:rsidP="00B43D57">
            <w:pPr>
              <w:rPr>
                <w:rFonts w:ascii="Arial" w:hAnsi="Arial" w:cs="Arial"/>
                <w:color w:val="000000"/>
                <w:sz w:val="16"/>
                <w:szCs w:val="16"/>
              </w:rPr>
            </w:pPr>
            <w:r>
              <w:rPr>
                <w:rFonts w:ascii="Arial" w:hAnsi="Arial" w:cs="Arial"/>
                <w:color w:val="000000"/>
                <w:sz w:val="16"/>
                <w:szCs w:val="16"/>
              </w:rPr>
              <w:t>Profit before income tax</w:t>
            </w:r>
          </w:p>
        </w:tc>
        <w:tc>
          <w:tcPr>
            <w:tcW w:w="1234" w:type="dxa"/>
            <w:tcBorders>
              <w:top w:val="nil"/>
              <w:left w:val="nil"/>
              <w:bottom w:val="nil"/>
              <w:right w:val="nil"/>
            </w:tcBorders>
            <w:shd w:val="clear" w:color="auto" w:fill="auto"/>
            <w:vAlign w:val="center"/>
            <w:hideMark/>
          </w:tcPr>
          <w:p w14:paraId="3E3E3985" w14:textId="0C71612B" w:rsidR="00B43D57" w:rsidRDefault="00B43D57" w:rsidP="00B43D57">
            <w:pPr>
              <w:jc w:val="right"/>
              <w:rPr>
                <w:rFonts w:ascii="Arial" w:hAnsi="Arial" w:cs="Arial"/>
                <w:color w:val="000000"/>
                <w:sz w:val="16"/>
                <w:szCs w:val="16"/>
              </w:rPr>
            </w:pPr>
            <w:r>
              <w:rPr>
                <w:rFonts w:ascii="Arial" w:hAnsi="Arial" w:cs="Arial"/>
                <w:color w:val="000000"/>
                <w:sz w:val="16"/>
                <w:szCs w:val="16"/>
              </w:rPr>
              <w:t>4,352,080</w:t>
            </w:r>
          </w:p>
        </w:tc>
        <w:tc>
          <w:tcPr>
            <w:tcW w:w="1235" w:type="dxa"/>
            <w:tcBorders>
              <w:top w:val="nil"/>
              <w:left w:val="nil"/>
              <w:bottom w:val="nil"/>
              <w:right w:val="nil"/>
            </w:tcBorders>
            <w:shd w:val="clear" w:color="auto" w:fill="auto"/>
            <w:vAlign w:val="center"/>
            <w:hideMark/>
          </w:tcPr>
          <w:p w14:paraId="74316ED7" w14:textId="14207B76" w:rsidR="00B43D57" w:rsidRDefault="00B43D57" w:rsidP="00B43D57">
            <w:pPr>
              <w:jc w:val="right"/>
              <w:rPr>
                <w:rFonts w:ascii="Arial" w:hAnsi="Arial" w:cs="Arial"/>
                <w:color w:val="000000"/>
                <w:sz w:val="16"/>
                <w:szCs w:val="16"/>
              </w:rPr>
            </w:pPr>
            <w:r>
              <w:rPr>
                <w:rFonts w:ascii="Arial" w:hAnsi="Arial" w:cs="Arial"/>
                <w:color w:val="000000"/>
                <w:sz w:val="16"/>
                <w:szCs w:val="16"/>
              </w:rPr>
              <w:t>2,062,466</w:t>
            </w:r>
          </w:p>
        </w:tc>
        <w:tc>
          <w:tcPr>
            <w:tcW w:w="1235" w:type="dxa"/>
            <w:tcBorders>
              <w:top w:val="nil"/>
              <w:left w:val="nil"/>
              <w:bottom w:val="nil"/>
              <w:right w:val="nil"/>
            </w:tcBorders>
            <w:shd w:val="clear" w:color="auto" w:fill="auto"/>
            <w:vAlign w:val="center"/>
            <w:hideMark/>
          </w:tcPr>
          <w:p w14:paraId="277631E8" w14:textId="08B3C3F7" w:rsidR="00B43D57" w:rsidRDefault="00B43D57" w:rsidP="00B43D57">
            <w:pPr>
              <w:jc w:val="right"/>
              <w:rPr>
                <w:rFonts w:ascii="Arial" w:hAnsi="Arial" w:cs="Arial"/>
                <w:color w:val="000000"/>
                <w:sz w:val="16"/>
                <w:szCs w:val="16"/>
              </w:rPr>
            </w:pPr>
            <w:r>
              <w:rPr>
                <w:rFonts w:ascii="Arial" w:hAnsi="Arial" w:cs="Arial"/>
                <w:color w:val="000000"/>
                <w:sz w:val="16"/>
                <w:szCs w:val="16"/>
              </w:rPr>
              <w:t>283,017</w:t>
            </w:r>
          </w:p>
        </w:tc>
      </w:tr>
      <w:tr w:rsidR="00B43D57" w14:paraId="71EBA8C2" w14:textId="77777777" w:rsidTr="001A4C72">
        <w:trPr>
          <w:trHeight w:val="300"/>
        </w:trPr>
        <w:tc>
          <w:tcPr>
            <w:tcW w:w="4436" w:type="dxa"/>
            <w:tcBorders>
              <w:top w:val="nil"/>
              <w:left w:val="nil"/>
              <w:bottom w:val="nil"/>
              <w:right w:val="nil"/>
            </w:tcBorders>
            <w:shd w:val="clear" w:color="auto" w:fill="auto"/>
            <w:noWrap/>
            <w:vAlign w:val="center"/>
            <w:hideMark/>
          </w:tcPr>
          <w:p w14:paraId="56F6F686" w14:textId="77777777" w:rsidR="00B43D57" w:rsidRDefault="00B43D57" w:rsidP="00B43D57">
            <w:pPr>
              <w:rPr>
                <w:rFonts w:ascii="Arial" w:hAnsi="Arial" w:cs="Arial"/>
                <w:color w:val="000000"/>
                <w:sz w:val="16"/>
                <w:szCs w:val="16"/>
              </w:rPr>
            </w:pPr>
            <w:r>
              <w:rPr>
                <w:rFonts w:ascii="Arial" w:hAnsi="Arial" w:cs="Arial"/>
                <w:color w:val="000000"/>
                <w:sz w:val="16"/>
                <w:szCs w:val="16"/>
              </w:rPr>
              <w:t>Net profit after tax</w:t>
            </w:r>
          </w:p>
        </w:tc>
        <w:tc>
          <w:tcPr>
            <w:tcW w:w="1234" w:type="dxa"/>
            <w:tcBorders>
              <w:top w:val="nil"/>
              <w:left w:val="nil"/>
              <w:bottom w:val="nil"/>
              <w:right w:val="nil"/>
            </w:tcBorders>
            <w:shd w:val="clear" w:color="auto" w:fill="auto"/>
            <w:vAlign w:val="center"/>
            <w:hideMark/>
          </w:tcPr>
          <w:p w14:paraId="5B5C4EEA" w14:textId="21E5C217" w:rsidR="00B43D57" w:rsidRDefault="00B43D57" w:rsidP="00B43D57">
            <w:pPr>
              <w:jc w:val="right"/>
              <w:rPr>
                <w:rFonts w:ascii="Arial" w:hAnsi="Arial" w:cs="Arial"/>
                <w:color w:val="000000"/>
                <w:sz w:val="16"/>
                <w:szCs w:val="16"/>
              </w:rPr>
            </w:pPr>
            <w:r>
              <w:rPr>
                <w:rFonts w:ascii="Arial" w:hAnsi="Arial" w:cs="Arial"/>
                <w:color w:val="000000"/>
                <w:sz w:val="16"/>
                <w:szCs w:val="16"/>
              </w:rPr>
              <w:t>3,245,320</w:t>
            </w:r>
          </w:p>
        </w:tc>
        <w:tc>
          <w:tcPr>
            <w:tcW w:w="1235" w:type="dxa"/>
            <w:tcBorders>
              <w:top w:val="nil"/>
              <w:left w:val="nil"/>
              <w:bottom w:val="nil"/>
              <w:right w:val="nil"/>
            </w:tcBorders>
            <w:shd w:val="clear" w:color="auto" w:fill="auto"/>
            <w:vAlign w:val="center"/>
            <w:hideMark/>
          </w:tcPr>
          <w:p w14:paraId="7F4C57D9" w14:textId="6982B53B" w:rsidR="00B43D57" w:rsidRDefault="00B43D57" w:rsidP="00B43D57">
            <w:pPr>
              <w:jc w:val="right"/>
              <w:rPr>
                <w:rFonts w:ascii="Arial" w:hAnsi="Arial" w:cs="Arial"/>
                <w:color w:val="000000"/>
                <w:sz w:val="16"/>
                <w:szCs w:val="16"/>
              </w:rPr>
            </w:pPr>
            <w:r>
              <w:rPr>
                <w:rFonts w:ascii="Arial" w:hAnsi="Arial" w:cs="Arial"/>
                <w:color w:val="000000"/>
                <w:sz w:val="16"/>
                <w:szCs w:val="16"/>
              </w:rPr>
              <w:t>1,536,878</w:t>
            </w:r>
          </w:p>
        </w:tc>
        <w:tc>
          <w:tcPr>
            <w:tcW w:w="1235" w:type="dxa"/>
            <w:tcBorders>
              <w:top w:val="nil"/>
              <w:left w:val="nil"/>
              <w:bottom w:val="nil"/>
              <w:right w:val="nil"/>
            </w:tcBorders>
            <w:shd w:val="clear" w:color="auto" w:fill="auto"/>
            <w:vAlign w:val="center"/>
            <w:hideMark/>
          </w:tcPr>
          <w:p w14:paraId="2ED30ECD" w14:textId="0E79A258" w:rsidR="00B43D57" w:rsidRDefault="00B43D57" w:rsidP="00B43D57">
            <w:pPr>
              <w:jc w:val="right"/>
              <w:rPr>
                <w:rFonts w:ascii="Arial" w:hAnsi="Arial" w:cs="Arial"/>
                <w:color w:val="000000"/>
                <w:sz w:val="16"/>
                <w:szCs w:val="16"/>
              </w:rPr>
            </w:pPr>
            <w:r>
              <w:rPr>
                <w:rFonts w:ascii="Arial" w:hAnsi="Arial" w:cs="Arial"/>
                <w:color w:val="000000"/>
                <w:sz w:val="16"/>
                <w:szCs w:val="16"/>
              </w:rPr>
              <w:t>223,430</w:t>
            </w:r>
          </w:p>
        </w:tc>
      </w:tr>
      <w:tr w:rsidR="00B43D57" w14:paraId="3B306245" w14:textId="77777777" w:rsidTr="001A4C72">
        <w:trPr>
          <w:trHeight w:val="315"/>
        </w:trPr>
        <w:tc>
          <w:tcPr>
            <w:tcW w:w="4436" w:type="dxa"/>
            <w:tcBorders>
              <w:top w:val="nil"/>
              <w:left w:val="nil"/>
              <w:bottom w:val="nil"/>
              <w:right w:val="nil"/>
            </w:tcBorders>
            <w:shd w:val="clear" w:color="auto" w:fill="auto"/>
            <w:vAlign w:val="center"/>
            <w:hideMark/>
          </w:tcPr>
          <w:p w14:paraId="78B615F5" w14:textId="77777777" w:rsidR="00B43D57" w:rsidRDefault="00B43D57" w:rsidP="00B43D57">
            <w:pPr>
              <w:rPr>
                <w:rFonts w:ascii="Arial" w:hAnsi="Arial" w:cs="Arial"/>
                <w:color w:val="000000"/>
                <w:sz w:val="16"/>
                <w:szCs w:val="16"/>
              </w:rPr>
            </w:pPr>
            <w:r>
              <w:rPr>
                <w:rFonts w:ascii="Arial" w:hAnsi="Arial" w:cs="Arial"/>
                <w:color w:val="000000"/>
                <w:sz w:val="16"/>
                <w:szCs w:val="16"/>
              </w:rPr>
              <w:t>Total comprehensive income</w:t>
            </w:r>
          </w:p>
        </w:tc>
        <w:tc>
          <w:tcPr>
            <w:tcW w:w="1234" w:type="dxa"/>
            <w:tcBorders>
              <w:top w:val="nil"/>
              <w:left w:val="nil"/>
              <w:bottom w:val="double" w:sz="6" w:space="0" w:color="auto"/>
              <w:right w:val="nil"/>
            </w:tcBorders>
            <w:shd w:val="clear" w:color="auto" w:fill="auto"/>
            <w:vAlign w:val="center"/>
            <w:hideMark/>
          </w:tcPr>
          <w:p w14:paraId="7C753F07" w14:textId="55B68B8B" w:rsidR="00B43D57" w:rsidRDefault="00B43D57" w:rsidP="00B43D57">
            <w:pPr>
              <w:jc w:val="right"/>
              <w:rPr>
                <w:rFonts w:ascii="Arial" w:hAnsi="Arial" w:cs="Arial"/>
                <w:color w:val="000000"/>
                <w:sz w:val="16"/>
                <w:szCs w:val="16"/>
              </w:rPr>
            </w:pPr>
            <w:r>
              <w:rPr>
                <w:rFonts w:ascii="Arial" w:hAnsi="Arial" w:cs="Arial"/>
                <w:color w:val="000000"/>
                <w:sz w:val="16"/>
                <w:szCs w:val="16"/>
              </w:rPr>
              <w:t>3,245,320</w:t>
            </w:r>
          </w:p>
        </w:tc>
        <w:tc>
          <w:tcPr>
            <w:tcW w:w="1235" w:type="dxa"/>
            <w:tcBorders>
              <w:top w:val="nil"/>
              <w:left w:val="nil"/>
              <w:bottom w:val="double" w:sz="6" w:space="0" w:color="auto"/>
              <w:right w:val="nil"/>
            </w:tcBorders>
            <w:shd w:val="clear" w:color="auto" w:fill="auto"/>
            <w:vAlign w:val="center"/>
            <w:hideMark/>
          </w:tcPr>
          <w:p w14:paraId="38FFE674" w14:textId="53CA4AA7" w:rsidR="00B43D57" w:rsidRDefault="00B43D57" w:rsidP="00B43D57">
            <w:pPr>
              <w:jc w:val="right"/>
              <w:rPr>
                <w:rFonts w:ascii="Arial" w:hAnsi="Arial" w:cs="Arial"/>
                <w:color w:val="000000"/>
                <w:sz w:val="16"/>
                <w:szCs w:val="16"/>
              </w:rPr>
            </w:pPr>
            <w:r>
              <w:rPr>
                <w:rFonts w:ascii="Arial" w:hAnsi="Arial" w:cs="Arial"/>
                <w:color w:val="000000"/>
                <w:sz w:val="16"/>
                <w:szCs w:val="16"/>
              </w:rPr>
              <w:t>1,536,878</w:t>
            </w:r>
          </w:p>
        </w:tc>
        <w:tc>
          <w:tcPr>
            <w:tcW w:w="1235" w:type="dxa"/>
            <w:tcBorders>
              <w:top w:val="nil"/>
              <w:left w:val="nil"/>
              <w:bottom w:val="double" w:sz="6" w:space="0" w:color="auto"/>
              <w:right w:val="nil"/>
            </w:tcBorders>
            <w:shd w:val="clear" w:color="auto" w:fill="auto"/>
            <w:vAlign w:val="center"/>
            <w:hideMark/>
          </w:tcPr>
          <w:p w14:paraId="4C38D42B" w14:textId="72562757" w:rsidR="00B43D57" w:rsidRDefault="00B43D57" w:rsidP="00B43D57">
            <w:pPr>
              <w:jc w:val="right"/>
              <w:rPr>
                <w:rFonts w:ascii="Arial" w:hAnsi="Arial" w:cs="Arial"/>
                <w:color w:val="000000"/>
                <w:sz w:val="16"/>
                <w:szCs w:val="16"/>
              </w:rPr>
            </w:pPr>
            <w:r>
              <w:rPr>
                <w:rFonts w:ascii="Arial" w:hAnsi="Arial" w:cs="Arial"/>
                <w:color w:val="000000"/>
                <w:sz w:val="16"/>
                <w:szCs w:val="16"/>
              </w:rPr>
              <w:t>223,430</w:t>
            </w:r>
          </w:p>
        </w:tc>
      </w:tr>
      <w:tr w:rsidR="00173D48" w14:paraId="17E7C6EB" w14:textId="77777777" w:rsidTr="001A4C72">
        <w:trPr>
          <w:trHeight w:val="315"/>
        </w:trPr>
        <w:tc>
          <w:tcPr>
            <w:tcW w:w="4436" w:type="dxa"/>
            <w:tcBorders>
              <w:top w:val="nil"/>
              <w:left w:val="nil"/>
              <w:bottom w:val="nil"/>
              <w:right w:val="nil"/>
            </w:tcBorders>
            <w:shd w:val="clear" w:color="auto" w:fill="auto"/>
            <w:vAlign w:val="center"/>
            <w:hideMark/>
          </w:tcPr>
          <w:p w14:paraId="4A36B314" w14:textId="77777777" w:rsidR="00173D48" w:rsidRDefault="00173D48" w:rsidP="00173D48">
            <w:pPr>
              <w:jc w:val="right"/>
              <w:rPr>
                <w:rFonts w:ascii="Arial" w:hAnsi="Arial" w:cs="Arial"/>
                <w:color w:val="000000"/>
                <w:sz w:val="16"/>
                <w:szCs w:val="16"/>
              </w:rPr>
            </w:pPr>
          </w:p>
        </w:tc>
        <w:tc>
          <w:tcPr>
            <w:tcW w:w="1234" w:type="dxa"/>
            <w:tcBorders>
              <w:top w:val="nil"/>
              <w:left w:val="nil"/>
              <w:bottom w:val="nil"/>
              <w:right w:val="nil"/>
            </w:tcBorders>
            <w:shd w:val="clear" w:color="auto" w:fill="auto"/>
            <w:vAlign w:val="center"/>
            <w:hideMark/>
          </w:tcPr>
          <w:p w14:paraId="2F80E114" w14:textId="77777777" w:rsidR="00173D48" w:rsidRDefault="00173D48" w:rsidP="00173D48">
            <w:pPr>
              <w:rPr>
                <w:sz w:val="20"/>
                <w:szCs w:val="20"/>
              </w:rPr>
            </w:pPr>
          </w:p>
        </w:tc>
        <w:tc>
          <w:tcPr>
            <w:tcW w:w="1235" w:type="dxa"/>
            <w:tcBorders>
              <w:top w:val="nil"/>
              <w:left w:val="nil"/>
              <w:bottom w:val="nil"/>
              <w:right w:val="nil"/>
            </w:tcBorders>
            <w:shd w:val="clear" w:color="auto" w:fill="auto"/>
            <w:vAlign w:val="center"/>
            <w:hideMark/>
          </w:tcPr>
          <w:p w14:paraId="7E479BCC" w14:textId="77777777" w:rsidR="00173D48" w:rsidRDefault="00173D48" w:rsidP="00173D48">
            <w:pPr>
              <w:jc w:val="right"/>
              <w:rPr>
                <w:sz w:val="20"/>
                <w:szCs w:val="20"/>
              </w:rPr>
            </w:pPr>
          </w:p>
        </w:tc>
        <w:tc>
          <w:tcPr>
            <w:tcW w:w="1235" w:type="dxa"/>
            <w:tcBorders>
              <w:top w:val="nil"/>
              <w:left w:val="nil"/>
              <w:bottom w:val="nil"/>
              <w:right w:val="nil"/>
            </w:tcBorders>
            <w:shd w:val="clear" w:color="auto" w:fill="auto"/>
            <w:vAlign w:val="center"/>
            <w:hideMark/>
          </w:tcPr>
          <w:p w14:paraId="1C30D1A7" w14:textId="77777777" w:rsidR="00173D48" w:rsidRDefault="00173D48" w:rsidP="00173D48">
            <w:pPr>
              <w:jc w:val="right"/>
              <w:rPr>
                <w:sz w:val="20"/>
                <w:szCs w:val="20"/>
              </w:rPr>
            </w:pPr>
          </w:p>
        </w:tc>
      </w:tr>
      <w:tr w:rsidR="00173D48" w14:paraId="0715AE98" w14:textId="77777777" w:rsidTr="001A4C72">
        <w:trPr>
          <w:trHeight w:val="450"/>
        </w:trPr>
        <w:tc>
          <w:tcPr>
            <w:tcW w:w="4436" w:type="dxa"/>
            <w:tcBorders>
              <w:top w:val="nil"/>
              <w:left w:val="nil"/>
              <w:bottom w:val="nil"/>
              <w:right w:val="nil"/>
            </w:tcBorders>
            <w:shd w:val="clear" w:color="auto" w:fill="auto"/>
            <w:vAlign w:val="center"/>
            <w:hideMark/>
          </w:tcPr>
          <w:p w14:paraId="31C6D148" w14:textId="77777777" w:rsidR="00173D48" w:rsidRDefault="00173D48" w:rsidP="00173D48">
            <w:pPr>
              <w:rPr>
                <w:rFonts w:ascii="Arial" w:hAnsi="Arial" w:cs="Arial"/>
                <w:b/>
                <w:bCs/>
                <w:color w:val="000000"/>
                <w:sz w:val="16"/>
                <w:szCs w:val="16"/>
              </w:rPr>
            </w:pPr>
            <w:r>
              <w:rPr>
                <w:rFonts w:ascii="Arial" w:hAnsi="Arial" w:cs="Arial"/>
                <w:b/>
                <w:bCs/>
                <w:color w:val="000000"/>
                <w:sz w:val="16"/>
                <w:szCs w:val="16"/>
              </w:rPr>
              <w:t>STATEMENT OF CHANGES IN EQUITY (EXTRACT)</w:t>
            </w:r>
          </w:p>
        </w:tc>
        <w:tc>
          <w:tcPr>
            <w:tcW w:w="1234" w:type="dxa"/>
            <w:tcBorders>
              <w:top w:val="nil"/>
              <w:left w:val="nil"/>
              <w:bottom w:val="nil"/>
              <w:right w:val="nil"/>
            </w:tcBorders>
            <w:shd w:val="clear" w:color="auto" w:fill="auto"/>
            <w:vAlign w:val="center"/>
            <w:hideMark/>
          </w:tcPr>
          <w:p w14:paraId="33577B91" w14:textId="77777777" w:rsidR="00173D48" w:rsidRDefault="00173D48" w:rsidP="00173D48">
            <w:pPr>
              <w:rPr>
                <w:rFonts w:ascii="Arial" w:hAnsi="Arial" w:cs="Arial"/>
                <w:b/>
                <w:bCs/>
                <w:color w:val="000000"/>
                <w:sz w:val="16"/>
                <w:szCs w:val="16"/>
              </w:rPr>
            </w:pPr>
          </w:p>
        </w:tc>
        <w:tc>
          <w:tcPr>
            <w:tcW w:w="1235" w:type="dxa"/>
            <w:tcBorders>
              <w:top w:val="nil"/>
              <w:left w:val="nil"/>
              <w:bottom w:val="nil"/>
              <w:right w:val="nil"/>
            </w:tcBorders>
            <w:shd w:val="clear" w:color="auto" w:fill="auto"/>
            <w:vAlign w:val="center"/>
            <w:hideMark/>
          </w:tcPr>
          <w:p w14:paraId="3E2C3D4C" w14:textId="77777777" w:rsidR="00173D48" w:rsidRDefault="00173D48" w:rsidP="00173D48">
            <w:pPr>
              <w:rPr>
                <w:sz w:val="20"/>
                <w:szCs w:val="20"/>
              </w:rPr>
            </w:pPr>
          </w:p>
        </w:tc>
        <w:tc>
          <w:tcPr>
            <w:tcW w:w="1235" w:type="dxa"/>
            <w:tcBorders>
              <w:top w:val="nil"/>
              <w:left w:val="nil"/>
              <w:bottom w:val="nil"/>
              <w:right w:val="nil"/>
            </w:tcBorders>
            <w:shd w:val="clear" w:color="auto" w:fill="auto"/>
            <w:vAlign w:val="center"/>
            <w:hideMark/>
          </w:tcPr>
          <w:p w14:paraId="42385B5C" w14:textId="77777777" w:rsidR="00173D48" w:rsidRDefault="00173D48" w:rsidP="00173D48">
            <w:pPr>
              <w:rPr>
                <w:sz w:val="20"/>
                <w:szCs w:val="20"/>
              </w:rPr>
            </w:pPr>
          </w:p>
        </w:tc>
      </w:tr>
      <w:tr w:rsidR="00DE4B6E" w14:paraId="2C52629E" w14:textId="77777777" w:rsidTr="001A4C72">
        <w:trPr>
          <w:trHeight w:val="300"/>
        </w:trPr>
        <w:tc>
          <w:tcPr>
            <w:tcW w:w="4436" w:type="dxa"/>
            <w:tcBorders>
              <w:top w:val="nil"/>
              <w:left w:val="nil"/>
              <w:bottom w:val="nil"/>
              <w:right w:val="nil"/>
            </w:tcBorders>
            <w:shd w:val="clear" w:color="auto" w:fill="auto"/>
            <w:vAlign w:val="center"/>
            <w:hideMark/>
          </w:tcPr>
          <w:p w14:paraId="65D7AC59" w14:textId="77777777" w:rsidR="00DE4B6E" w:rsidRDefault="00DE4B6E" w:rsidP="00DE4B6E">
            <w:pPr>
              <w:rPr>
                <w:rFonts w:ascii="Arial" w:hAnsi="Arial" w:cs="Arial"/>
                <w:color w:val="000000"/>
                <w:sz w:val="16"/>
                <w:szCs w:val="16"/>
              </w:rPr>
            </w:pPr>
            <w:r>
              <w:rPr>
                <w:rFonts w:ascii="Arial" w:hAnsi="Arial" w:cs="Arial"/>
                <w:color w:val="000000"/>
                <w:sz w:val="16"/>
                <w:szCs w:val="16"/>
              </w:rPr>
              <w:t>Total equity at start of year</w:t>
            </w:r>
          </w:p>
        </w:tc>
        <w:tc>
          <w:tcPr>
            <w:tcW w:w="1234" w:type="dxa"/>
            <w:tcBorders>
              <w:top w:val="nil"/>
              <w:left w:val="nil"/>
              <w:bottom w:val="nil"/>
              <w:right w:val="nil"/>
            </w:tcBorders>
            <w:shd w:val="clear" w:color="auto" w:fill="auto"/>
            <w:vAlign w:val="center"/>
            <w:hideMark/>
          </w:tcPr>
          <w:p w14:paraId="1DFBB5D7" w14:textId="67C7B265" w:rsidR="00DE4B6E" w:rsidRDefault="00DE4B6E" w:rsidP="00DE4B6E">
            <w:pPr>
              <w:jc w:val="right"/>
              <w:rPr>
                <w:rFonts w:ascii="Arial" w:hAnsi="Arial" w:cs="Arial"/>
                <w:color w:val="000000"/>
                <w:sz w:val="16"/>
                <w:szCs w:val="16"/>
              </w:rPr>
            </w:pPr>
            <w:r>
              <w:rPr>
                <w:rFonts w:ascii="Arial" w:hAnsi="Arial" w:cs="Arial"/>
                <w:color w:val="000000"/>
                <w:sz w:val="16"/>
                <w:szCs w:val="16"/>
              </w:rPr>
              <w:t>9,743,002</w:t>
            </w:r>
          </w:p>
        </w:tc>
        <w:tc>
          <w:tcPr>
            <w:tcW w:w="1235" w:type="dxa"/>
            <w:tcBorders>
              <w:top w:val="nil"/>
              <w:left w:val="nil"/>
              <w:bottom w:val="nil"/>
              <w:right w:val="nil"/>
            </w:tcBorders>
            <w:shd w:val="clear" w:color="auto" w:fill="auto"/>
            <w:vAlign w:val="center"/>
            <w:hideMark/>
          </w:tcPr>
          <w:p w14:paraId="5C7BB4F9" w14:textId="2DDE6A5F" w:rsidR="00DE4B6E" w:rsidRDefault="00DE4B6E" w:rsidP="00DE4B6E">
            <w:pPr>
              <w:jc w:val="right"/>
              <w:rPr>
                <w:rFonts w:ascii="Arial" w:hAnsi="Arial" w:cs="Arial"/>
                <w:color w:val="000000"/>
                <w:sz w:val="16"/>
                <w:szCs w:val="16"/>
              </w:rPr>
            </w:pPr>
            <w:r>
              <w:rPr>
                <w:rFonts w:ascii="Arial" w:hAnsi="Arial" w:cs="Arial"/>
                <w:color w:val="000000"/>
                <w:sz w:val="16"/>
                <w:szCs w:val="16"/>
              </w:rPr>
              <w:t>6,056,124</w:t>
            </w:r>
          </w:p>
        </w:tc>
        <w:tc>
          <w:tcPr>
            <w:tcW w:w="1235" w:type="dxa"/>
            <w:tcBorders>
              <w:top w:val="nil"/>
              <w:left w:val="nil"/>
              <w:bottom w:val="nil"/>
              <w:right w:val="nil"/>
            </w:tcBorders>
            <w:shd w:val="clear" w:color="auto" w:fill="auto"/>
            <w:vAlign w:val="center"/>
            <w:hideMark/>
          </w:tcPr>
          <w:p w14:paraId="10DA9352" w14:textId="44B1620B" w:rsidR="00DE4B6E" w:rsidRDefault="00DE4B6E" w:rsidP="00DE4B6E">
            <w:pPr>
              <w:jc w:val="right"/>
              <w:rPr>
                <w:rFonts w:ascii="Arial" w:hAnsi="Arial" w:cs="Arial"/>
                <w:color w:val="000000"/>
                <w:sz w:val="16"/>
                <w:szCs w:val="16"/>
              </w:rPr>
            </w:pPr>
            <w:r>
              <w:rPr>
                <w:rFonts w:ascii="Arial" w:hAnsi="Arial" w:cs="Arial"/>
                <w:color w:val="000000"/>
                <w:sz w:val="16"/>
                <w:szCs w:val="16"/>
              </w:rPr>
              <w:t>5,832,694</w:t>
            </w:r>
          </w:p>
        </w:tc>
      </w:tr>
      <w:tr w:rsidR="00DE4B6E" w14:paraId="06F961E9" w14:textId="77777777" w:rsidTr="001A4C72">
        <w:trPr>
          <w:trHeight w:val="300"/>
        </w:trPr>
        <w:tc>
          <w:tcPr>
            <w:tcW w:w="4436" w:type="dxa"/>
            <w:tcBorders>
              <w:top w:val="nil"/>
              <w:left w:val="nil"/>
              <w:bottom w:val="nil"/>
              <w:right w:val="nil"/>
            </w:tcBorders>
            <w:shd w:val="clear" w:color="auto" w:fill="auto"/>
            <w:noWrap/>
            <w:vAlign w:val="center"/>
            <w:hideMark/>
          </w:tcPr>
          <w:p w14:paraId="6F9E1938" w14:textId="77777777" w:rsidR="00DE4B6E" w:rsidRDefault="00DE4B6E" w:rsidP="00DE4B6E">
            <w:pPr>
              <w:rPr>
                <w:rFonts w:ascii="Arial" w:hAnsi="Arial" w:cs="Arial"/>
                <w:color w:val="000000"/>
                <w:sz w:val="16"/>
                <w:szCs w:val="16"/>
              </w:rPr>
            </w:pPr>
            <w:r>
              <w:rPr>
                <w:rFonts w:ascii="Arial" w:hAnsi="Arial" w:cs="Arial"/>
                <w:color w:val="000000"/>
                <w:sz w:val="16"/>
                <w:szCs w:val="16"/>
              </w:rPr>
              <w:t>Shares issued</w:t>
            </w:r>
          </w:p>
        </w:tc>
        <w:tc>
          <w:tcPr>
            <w:tcW w:w="1234" w:type="dxa"/>
            <w:tcBorders>
              <w:top w:val="nil"/>
              <w:left w:val="nil"/>
              <w:bottom w:val="nil"/>
              <w:right w:val="nil"/>
            </w:tcBorders>
            <w:shd w:val="clear" w:color="auto" w:fill="auto"/>
            <w:vAlign w:val="center"/>
            <w:hideMark/>
          </w:tcPr>
          <w:p w14:paraId="1F3A60AC" w14:textId="58DF07EA" w:rsidR="00DE4B6E" w:rsidRDefault="00DE4B6E" w:rsidP="00DE4B6E">
            <w:pPr>
              <w:jc w:val="right"/>
              <w:rPr>
                <w:rFonts w:ascii="Arial" w:hAnsi="Arial" w:cs="Arial"/>
                <w:color w:val="000000"/>
                <w:sz w:val="16"/>
                <w:szCs w:val="16"/>
              </w:rPr>
            </w:pPr>
            <w:r>
              <w:rPr>
                <w:rFonts w:ascii="Arial" w:hAnsi="Arial" w:cs="Arial"/>
                <w:color w:val="000000"/>
                <w:sz w:val="16"/>
                <w:szCs w:val="16"/>
              </w:rPr>
              <w:t>3,000,000</w:t>
            </w:r>
          </w:p>
        </w:tc>
        <w:tc>
          <w:tcPr>
            <w:tcW w:w="1235" w:type="dxa"/>
            <w:tcBorders>
              <w:top w:val="nil"/>
              <w:left w:val="nil"/>
              <w:bottom w:val="nil"/>
              <w:right w:val="nil"/>
            </w:tcBorders>
            <w:shd w:val="clear" w:color="auto" w:fill="auto"/>
            <w:vAlign w:val="center"/>
            <w:hideMark/>
          </w:tcPr>
          <w:p w14:paraId="1D9B6C8B" w14:textId="18C879F8" w:rsidR="00DE4B6E" w:rsidRDefault="00DE4B6E" w:rsidP="00DE4B6E">
            <w:pPr>
              <w:jc w:val="right"/>
              <w:rPr>
                <w:rFonts w:ascii="Arial" w:hAnsi="Arial" w:cs="Arial"/>
                <w:color w:val="000000"/>
                <w:sz w:val="16"/>
                <w:szCs w:val="16"/>
              </w:rPr>
            </w:pPr>
            <w:r>
              <w:rPr>
                <w:rFonts w:ascii="Arial" w:hAnsi="Arial" w:cs="Arial"/>
                <w:color w:val="000000"/>
                <w:sz w:val="16"/>
                <w:szCs w:val="16"/>
              </w:rPr>
              <w:t>2,150,000</w:t>
            </w:r>
          </w:p>
        </w:tc>
        <w:tc>
          <w:tcPr>
            <w:tcW w:w="1235" w:type="dxa"/>
            <w:tcBorders>
              <w:top w:val="nil"/>
              <w:left w:val="nil"/>
              <w:bottom w:val="nil"/>
              <w:right w:val="nil"/>
            </w:tcBorders>
            <w:shd w:val="clear" w:color="auto" w:fill="auto"/>
            <w:vAlign w:val="center"/>
            <w:hideMark/>
          </w:tcPr>
          <w:p w14:paraId="6E9FE3F7" w14:textId="22622A59" w:rsidR="00DE4B6E" w:rsidRDefault="00DE4B6E" w:rsidP="00DE4B6E">
            <w:pPr>
              <w:jc w:val="right"/>
              <w:rPr>
                <w:rFonts w:ascii="Arial" w:hAnsi="Arial" w:cs="Arial"/>
                <w:color w:val="000000"/>
                <w:sz w:val="16"/>
                <w:szCs w:val="16"/>
              </w:rPr>
            </w:pPr>
            <w:r>
              <w:rPr>
                <w:rFonts w:ascii="Arial" w:hAnsi="Arial" w:cs="Arial"/>
                <w:color w:val="000000"/>
                <w:sz w:val="16"/>
                <w:szCs w:val="16"/>
              </w:rPr>
              <w:t>0</w:t>
            </w:r>
          </w:p>
        </w:tc>
      </w:tr>
      <w:tr w:rsidR="00DE4B6E" w14:paraId="5741EBE0" w14:textId="77777777" w:rsidTr="001A4C72">
        <w:trPr>
          <w:trHeight w:val="300"/>
        </w:trPr>
        <w:tc>
          <w:tcPr>
            <w:tcW w:w="4436" w:type="dxa"/>
            <w:tcBorders>
              <w:top w:val="nil"/>
              <w:left w:val="nil"/>
              <w:bottom w:val="nil"/>
              <w:right w:val="nil"/>
            </w:tcBorders>
            <w:shd w:val="clear" w:color="auto" w:fill="auto"/>
            <w:vAlign w:val="center"/>
            <w:hideMark/>
          </w:tcPr>
          <w:p w14:paraId="282DDFC5" w14:textId="77777777" w:rsidR="00DE4B6E" w:rsidRDefault="00DE4B6E" w:rsidP="00DE4B6E">
            <w:pPr>
              <w:rPr>
                <w:rFonts w:ascii="Arial" w:hAnsi="Arial" w:cs="Arial"/>
                <w:color w:val="000000"/>
                <w:sz w:val="16"/>
                <w:szCs w:val="16"/>
              </w:rPr>
            </w:pPr>
            <w:r>
              <w:rPr>
                <w:rFonts w:ascii="Arial" w:hAnsi="Arial" w:cs="Arial"/>
                <w:color w:val="000000"/>
                <w:sz w:val="16"/>
                <w:szCs w:val="16"/>
              </w:rPr>
              <w:t>Profit for the period</w:t>
            </w:r>
          </w:p>
        </w:tc>
        <w:tc>
          <w:tcPr>
            <w:tcW w:w="1234" w:type="dxa"/>
            <w:tcBorders>
              <w:top w:val="nil"/>
              <w:left w:val="nil"/>
              <w:bottom w:val="nil"/>
              <w:right w:val="nil"/>
            </w:tcBorders>
            <w:shd w:val="clear" w:color="auto" w:fill="auto"/>
            <w:vAlign w:val="center"/>
            <w:hideMark/>
          </w:tcPr>
          <w:p w14:paraId="02EE3DEB" w14:textId="438435E1" w:rsidR="00DE4B6E" w:rsidRDefault="00DE4B6E" w:rsidP="00DE4B6E">
            <w:pPr>
              <w:jc w:val="right"/>
              <w:rPr>
                <w:rFonts w:ascii="Arial" w:hAnsi="Arial" w:cs="Arial"/>
                <w:color w:val="000000"/>
                <w:sz w:val="16"/>
                <w:szCs w:val="16"/>
              </w:rPr>
            </w:pPr>
            <w:r>
              <w:rPr>
                <w:rFonts w:ascii="Arial" w:hAnsi="Arial" w:cs="Arial"/>
                <w:color w:val="000000"/>
                <w:sz w:val="16"/>
                <w:szCs w:val="16"/>
              </w:rPr>
              <w:t>3,245,320</w:t>
            </w:r>
          </w:p>
        </w:tc>
        <w:tc>
          <w:tcPr>
            <w:tcW w:w="1235" w:type="dxa"/>
            <w:tcBorders>
              <w:top w:val="nil"/>
              <w:left w:val="nil"/>
              <w:bottom w:val="nil"/>
              <w:right w:val="nil"/>
            </w:tcBorders>
            <w:shd w:val="clear" w:color="auto" w:fill="auto"/>
            <w:vAlign w:val="center"/>
            <w:hideMark/>
          </w:tcPr>
          <w:p w14:paraId="08CA2070" w14:textId="2344E53F" w:rsidR="00DE4B6E" w:rsidRDefault="00DE4B6E" w:rsidP="00DE4B6E">
            <w:pPr>
              <w:jc w:val="right"/>
              <w:rPr>
                <w:rFonts w:ascii="Arial" w:hAnsi="Arial" w:cs="Arial"/>
                <w:color w:val="000000"/>
                <w:sz w:val="16"/>
                <w:szCs w:val="16"/>
              </w:rPr>
            </w:pPr>
            <w:r>
              <w:rPr>
                <w:rFonts w:ascii="Arial" w:hAnsi="Arial" w:cs="Arial"/>
                <w:color w:val="000000"/>
                <w:sz w:val="16"/>
                <w:szCs w:val="16"/>
              </w:rPr>
              <w:t>1,536,878</w:t>
            </w:r>
          </w:p>
        </w:tc>
        <w:tc>
          <w:tcPr>
            <w:tcW w:w="1235" w:type="dxa"/>
            <w:tcBorders>
              <w:top w:val="nil"/>
              <w:left w:val="nil"/>
              <w:bottom w:val="nil"/>
              <w:right w:val="nil"/>
            </w:tcBorders>
            <w:shd w:val="clear" w:color="auto" w:fill="auto"/>
            <w:vAlign w:val="center"/>
            <w:hideMark/>
          </w:tcPr>
          <w:p w14:paraId="4D4B27C7" w14:textId="28163AE3" w:rsidR="00DE4B6E" w:rsidRDefault="00DE4B6E" w:rsidP="00DE4B6E">
            <w:pPr>
              <w:jc w:val="right"/>
              <w:rPr>
                <w:rFonts w:ascii="Arial" w:hAnsi="Arial" w:cs="Arial"/>
                <w:color w:val="000000"/>
                <w:sz w:val="16"/>
                <w:szCs w:val="16"/>
              </w:rPr>
            </w:pPr>
            <w:r>
              <w:rPr>
                <w:rFonts w:ascii="Arial" w:hAnsi="Arial" w:cs="Arial"/>
                <w:color w:val="000000"/>
                <w:sz w:val="16"/>
                <w:szCs w:val="16"/>
              </w:rPr>
              <w:t>223,430</w:t>
            </w:r>
          </w:p>
        </w:tc>
      </w:tr>
      <w:tr w:rsidR="00DE4B6E" w14:paraId="65866370" w14:textId="77777777" w:rsidTr="001A4C72">
        <w:trPr>
          <w:trHeight w:val="315"/>
        </w:trPr>
        <w:tc>
          <w:tcPr>
            <w:tcW w:w="4436" w:type="dxa"/>
            <w:tcBorders>
              <w:top w:val="nil"/>
              <w:left w:val="nil"/>
              <w:bottom w:val="nil"/>
              <w:right w:val="nil"/>
            </w:tcBorders>
            <w:shd w:val="clear" w:color="auto" w:fill="auto"/>
            <w:noWrap/>
            <w:vAlign w:val="center"/>
            <w:hideMark/>
          </w:tcPr>
          <w:p w14:paraId="1702E531" w14:textId="77777777" w:rsidR="00DE4B6E" w:rsidRDefault="00DE4B6E" w:rsidP="00DE4B6E">
            <w:pPr>
              <w:rPr>
                <w:rFonts w:ascii="Arial" w:hAnsi="Arial" w:cs="Arial"/>
                <w:color w:val="000000"/>
                <w:sz w:val="16"/>
                <w:szCs w:val="16"/>
              </w:rPr>
            </w:pPr>
            <w:r>
              <w:rPr>
                <w:rFonts w:ascii="Arial" w:hAnsi="Arial" w:cs="Arial"/>
                <w:color w:val="000000"/>
                <w:sz w:val="16"/>
                <w:szCs w:val="16"/>
              </w:rPr>
              <w:t>Total equity at end of year</w:t>
            </w:r>
          </w:p>
        </w:tc>
        <w:tc>
          <w:tcPr>
            <w:tcW w:w="1234" w:type="dxa"/>
            <w:tcBorders>
              <w:top w:val="nil"/>
              <w:left w:val="nil"/>
              <w:bottom w:val="double" w:sz="6" w:space="0" w:color="auto"/>
              <w:right w:val="nil"/>
            </w:tcBorders>
            <w:shd w:val="clear" w:color="auto" w:fill="auto"/>
            <w:vAlign w:val="center"/>
            <w:hideMark/>
          </w:tcPr>
          <w:p w14:paraId="651F4318" w14:textId="0DDE454D" w:rsidR="00DE4B6E" w:rsidRDefault="00DE4B6E" w:rsidP="00DE4B6E">
            <w:pPr>
              <w:jc w:val="right"/>
              <w:rPr>
                <w:rFonts w:ascii="Arial" w:hAnsi="Arial" w:cs="Arial"/>
                <w:color w:val="000000"/>
                <w:sz w:val="16"/>
                <w:szCs w:val="16"/>
              </w:rPr>
            </w:pPr>
            <w:r>
              <w:rPr>
                <w:rFonts w:ascii="Arial" w:hAnsi="Arial" w:cs="Arial"/>
                <w:color w:val="000000"/>
                <w:sz w:val="16"/>
                <w:szCs w:val="16"/>
              </w:rPr>
              <w:t>15,988,322</w:t>
            </w:r>
          </w:p>
        </w:tc>
        <w:tc>
          <w:tcPr>
            <w:tcW w:w="1235" w:type="dxa"/>
            <w:tcBorders>
              <w:top w:val="nil"/>
              <w:left w:val="nil"/>
              <w:bottom w:val="double" w:sz="6" w:space="0" w:color="auto"/>
              <w:right w:val="nil"/>
            </w:tcBorders>
            <w:shd w:val="clear" w:color="auto" w:fill="auto"/>
            <w:vAlign w:val="center"/>
            <w:hideMark/>
          </w:tcPr>
          <w:p w14:paraId="7B5DD5B1" w14:textId="13456C77" w:rsidR="00DE4B6E" w:rsidRDefault="00DE4B6E" w:rsidP="00DE4B6E">
            <w:pPr>
              <w:jc w:val="right"/>
              <w:rPr>
                <w:rFonts w:ascii="Arial" w:hAnsi="Arial" w:cs="Arial"/>
                <w:color w:val="000000"/>
                <w:sz w:val="16"/>
                <w:szCs w:val="16"/>
              </w:rPr>
            </w:pPr>
            <w:r>
              <w:rPr>
                <w:rFonts w:ascii="Arial" w:hAnsi="Arial" w:cs="Arial"/>
                <w:color w:val="000000"/>
                <w:sz w:val="16"/>
                <w:szCs w:val="16"/>
              </w:rPr>
              <w:t>9,743,002</w:t>
            </w:r>
          </w:p>
        </w:tc>
        <w:tc>
          <w:tcPr>
            <w:tcW w:w="1235" w:type="dxa"/>
            <w:tcBorders>
              <w:top w:val="nil"/>
              <w:left w:val="nil"/>
              <w:bottom w:val="double" w:sz="6" w:space="0" w:color="auto"/>
              <w:right w:val="nil"/>
            </w:tcBorders>
            <w:shd w:val="clear" w:color="auto" w:fill="auto"/>
            <w:vAlign w:val="center"/>
            <w:hideMark/>
          </w:tcPr>
          <w:p w14:paraId="59DBEFAB" w14:textId="76D20136" w:rsidR="00DE4B6E" w:rsidRDefault="00DE4B6E" w:rsidP="00DE4B6E">
            <w:pPr>
              <w:jc w:val="right"/>
              <w:rPr>
                <w:rFonts w:ascii="Arial" w:hAnsi="Arial" w:cs="Arial"/>
                <w:color w:val="000000"/>
                <w:sz w:val="16"/>
                <w:szCs w:val="16"/>
              </w:rPr>
            </w:pPr>
            <w:r>
              <w:rPr>
                <w:rFonts w:ascii="Arial" w:hAnsi="Arial" w:cs="Arial"/>
                <w:color w:val="000000"/>
                <w:sz w:val="16"/>
                <w:szCs w:val="16"/>
              </w:rPr>
              <w:t>6,056,124</w:t>
            </w:r>
          </w:p>
        </w:tc>
      </w:tr>
      <w:tr w:rsidR="00173D48" w14:paraId="0686AE93" w14:textId="77777777" w:rsidTr="001A4C72">
        <w:trPr>
          <w:trHeight w:val="315"/>
        </w:trPr>
        <w:tc>
          <w:tcPr>
            <w:tcW w:w="4436" w:type="dxa"/>
            <w:tcBorders>
              <w:top w:val="nil"/>
              <w:left w:val="nil"/>
              <w:bottom w:val="nil"/>
              <w:right w:val="nil"/>
            </w:tcBorders>
            <w:shd w:val="clear" w:color="auto" w:fill="auto"/>
            <w:noWrap/>
            <w:vAlign w:val="center"/>
            <w:hideMark/>
          </w:tcPr>
          <w:p w14:paraId="6FA1A43D" w14:textId="77777777" w:rsidR="00173D48" w:rsidRDefault="00173D48" w:rsidP="00173D48">
            <w:pPr>
              <w:jc w:val="right"/>
              <w:rPr>
                <w:rFonts w:ascii="Arial" w:hAnsi="Arial" w:cs="Arial"/>
                <w:color w:val="000000"/>
                <w:sz w:val="16"/>
                <w:szCs w:val="16"/>
              </w:rPr>
            </w:pPr>
          </w:p>
        </w:tc>
        <w:tc>
          <w:tcPr>
            <w:tcW w:w="1234" w:type="dxa"/>
            <w:tcBorders>
              <w:top w:val="nil"/>
              <w:left w:val="nil"/>
              <w:bottom w:val="nil"/>
              <w:right w:val="nil"/>
            </w:tcBorders>
            <w:shd w:val="clear" w:color="auto" w:fill="auto"/>
            <w:vAlign w:val="center"/>
            <w:hideMark/>
          </w:tcPr>
          <w:p w14:paraId="2726AF39" w14:textId="77777777" w:rsidR="00173D48" w:rsidRDefault="00173D48" w:rsidP="00173D48">
            <w:pPr>
              <w:rPr>
                <w:sz w:val="20"/>
                <w:szCs w:val="20"/>
              </w:rPr>
            </w:pPr>
          </w:p>
        </w:tc>
        <w:tc>
          <w:tcPr>
            <w:tcW w:w="1235" w:type="dxa"/>
            <w:tcBorders>
              <w:top w:val="nil"/>
              <w:left w:val="nil"/>
              <w:bottom w:val="nil"/>
              <w:right w:val="nil"/>
            </w:tcBorders>
            <w:shd w:val="clear" w:color="auto" w:fill="auto"/>
            <w:vAlign w:val="center"/>
            <w:hideMark/>
          </w:tcPr>
          <w:p w14:paraId="121CE950" w14:textId="77777777" w:rsidR="00173D48" w:rsidRDefault="00173D48" w:rsidP="00173D48">
            <w:pPr>
              <w:jc w:val="right"/>
              <w:rPr>
                <w:sz w:val="20"/>
                <w:szCs w:val="20"/>
              </w:rPr>
            </w:pPr>
          </w:p>
        </w:tc>
        <w:tc>
          <w:tcPr>
            <w:tcW w:w="1235" w:type="dxa"/>
            <w:tcBorders>
              <w:top w:val="nil"/>
              <w:left w:val="nil"/>
              <w:bottom w:val="nil"/>
              <w:right w:val="nil"/>
            </w:tcBorders>
            <w:shd w:val="clear" w:color="auto" w:fill="auto"/>
            <w:vAlign w:val="center"/>
            <w:hideMark/>
          </w:tcPr>
          <w:p w14:paraId="7A2F601A" w14:textId="77777777" w:rsidR="00173D48" w:rsidRDefault="00173D48" w:rsidP="00173D48">
            <w:pPr>
              <w:jc w:val="right"/>
              <w:rPr>
                <w:sz w:val="20"/>
                <w:szCs w:val="20"/>
              </w:rPr>
            </w:pPr>
          </w:p>
        </w:tc>
      </w:tr>
      <w:tr w:rsidR="00173D48" w14:paraId="2642E386" w14:textId="77777777" w:rsidTr="001A4C72">
        <w:trPr>
          <w:trHeight w:val="300"/>
        </w:trPr>
        <w:tc>
          <w:tcPr>
            <w:tcW w:w="4436" w:type="dxa"/>
            <w:tcBorders>
              <w:top w:val="nil"/>
              <w:left w:val="nil"/>
              <w:bottom w:val="nil"/>
              <w:right w:val="nil"/>
            </w:tcBorders>
            <w:shd w:val="clear" w:color="auto" w:fill="auto"/>
            <w:noWrap/>
            <w:vAlign w:val="center"/>
            <w:hideMark/>
          </w:tcPr>
          <w:p w14:paraId="77E3EAE1" w14:textId="77777777" w:rsidR="00173D48" w:rsidRDefault="00173D48" w:rsidP="00173D48">
            <w:pPr>
              <w:rPr>
                <w:rFonts w:ascii="Arial" w:hAnsi="Arial" w:cs="Arial"/>
                <w:b/>
                <w:bCs/>
                <w:color w:val="000000"/>
                <w:sz w:val="16"/>
                <w:szCs w:val="16"/>
              </w:rPr>
            </w:pPr>
            <w:r>
              <w:rPr>
                <w:rFonts w:ascii="Arial" w:hAnsi="Arial" w:cs="Arial"/>
                <w:b/>
                <w:bCs/>
                <w:color w:val="000000"/>
                <w:sz w:val="16"/>
                <w:szCs w:val="16"/>
              </w:rPr>
              <w:t>STATEMENT OF FINANCIAL POSITION (EXTRACT)</w:t>
            </w:r>
          </w:p>
        </w:tc>
        <w:tc>
          <w:tcPr>
            <w:tcW w:w="1234" w:type="dxa"/>
            <w:tcBorders>
              <w:top w:val="nil"/>
              <w:left w:val="nil"/>
              <w:bottom w:val="nil"/>
              <w:right w:val="nil"/>
            </w:tcBorders>
            <w:shd w:val="clear" w:color="auto" w:fill="auto"/>
            <w:vAlign w:val="center"/>
            <w:hideMark/>
          </w:tcPr>
          <w:p w14:paraId="7DB6C3C1" w14:textId="77777777" w:rsidR="00173D48" w:rsidRDefault="00173D48" w:rsidP="00173D48">
            <w:pPr>
              <w:rPr>
                <w:rFonts w:ascii="Arial" w:hAnsi="Arial" w:cs="Arial"/>
                <w:b/>
                <w:bCs/>
                <w:color w:val="000000"/>
                <w:sz w:val="16"/>
                <w:szCs w:val="16"/>
              </w:rPr>
            </w:pPr>
          </w:p>
        </w:tc>
        <w:tc>
          <w:tcPr>
            <w:tcW w:w="1235" w:type="dxa"/>
            <w:tcBorders>
              <w:top w:val="nil"/>
              <w:left w:val="nil"/>
              <w:bottom w:val="nil"/>
              <w:right w:val="nil"/>
            </w:tcBorders>
            <w:shd w:val="clear" w:color="auto" w:fill="auto"/>
            <w:vAlign w:val="center"/>
            <w:hideMark/>
          </w:tcPr>
          <w:p w14:paraId="6780B36E" w14:textId="77777777" w:rsidR="00173D48" w:rsidRDefault="00173D48" w:rsidP="00173D48">
            <w:pPr>
              <w:rPr>
                <w:sz w:val="20"/>
                <w:szCs w:val="20"/>
              </w:rPr>
            </w:pPr>
          </w:p>
        </w:tc>
        <w:tc>
          <w:tcPr>
            <w:tcW w:w="1235" w:type="dxa"/>
            <w:tcBorders>
              <w:top w:val="nil"/>
              <w:left w:val="nil"/>
              <w:bottom w:val="nil"/>
              <w:right w:val="nil"/>
            </w:tcBorders>
            <w:shd w:val="clear" w:color="auto" w:fill="auto"/>
            <w:vAlign w:val="center"/>
            <w:hideMark/>
          </w:tcPr>
          <w:p w14:paraId="4F706797" w14:textId="77777777" w:rsidR="00173D48" w:rsidRDefault="00173D48" w:rsidP="00173D48">
            <w:pPr>
              <w:rPr>
                <w:sz w:val="20"/>
                <w:szCs w:val="20"/>
              </w:rPr>
            </w:pPr>
          </w:p>
        </w:tc>
      </w:tr>
      <w:tr w:rsidR="007A7CD3" w14:paraId="075FBE83" w14:textId="77777777" w:rsidTr="001A4C72">
        <w:trPr>
          <w:trHeight w:val="300"/>
        </w:trPr>
        <w:tc>
          <w:tcPr>
            <w:tcW w:w="4436" w:type="dxa"/>
            <w:tcBorders>
              <w:top w:val="nil"/>
              <w:left w:val="nil"/>
              <w:bottom w:val="nil"/>
              <w:right w:val="nil"/>
            </w:tcBorders>
            <w:shd w:val="clear" w:color="auto" w:fill="auto"/>
            <w:noWrap/>
            <w:vAlign w:val="center"/>
            <w:hideMark/>
          </w:tcPr>
          <w:p w14:paraId="6F1F5315" w14:textId="77777777" w:rsidR="007A7CD3" w:rsidRDefault="007A7CD3" w:rsidP="007A7CD3">
            <w:pPr>
              <w:rPr>
                <w:rFonts w:ascii="Arial" w:hAnsi="Arial" w:cs="Arial"/>
                <w:color w:val="000000"/>
                <w:sz w:val="16"/>
                <w:szCs w:val="16"/>
              </w:rPr>
            </w:pPr>
            <w:r>
              <w:rPr>
                <w:rFonts w:ascii="Arial" w:hAnsi="Arial" w:cs="Arial"/>
                <w:color w:val="000000"/>
                <w:sz w:val="16"/>
                <w:szCs w:val="16"/>
              </w:rPr>
              <w:t>Cash and cash equivalents</w:t>
            </w:r>
          </w:p>
        </w:tc>
        <w:tc>
          <w:tcPr>
            <w:tcW w:w="1234" w:type="dxa"/>
            <w:tcBorders>
              <w:top w:val="nil"/>
              <w:left w:val="nil"/>
              <w:bottom w:val="nil"/>
              <w:right w:val="nil"/>
            </w:tcBorders>
            <w:shd w:val="clear" w:color="auto" w:fill="auto"/>
            <w:vAlign w:val="center"/>
            <w:hideMark/>
          </w:tcPr>
          <w:p w14:paraId="1FC350CE" w14:textId="31827269" w:rsidR="007A7CD3" w:rsidRDefault="007A7CD3" w:rsidP="007A7CD3">
            <w:pPr>
              <w:jc w:val="right"/>
              <w:rPr>
                <w:rFonts w:ascii="Arial" w:hAnsi="Arial" w:cs="Arial"/>
                <w:color w:val="000000"/>
                <w:sz w:val="16"/>
                <w:szCs w:val="16"/>
              </w:rPr>
            </w:pPr>
            <w:r>
              <w:rPr>
                <w:rFonts w:ascii="Arial" w:hAnsi="Arial" w:cs="Arial"/>
                <w:color w:val="000000"/>
                <w:sz w:val="16"/>
                <w:szCs w:val="16"/>
              </w:rPr>
              <w:t>9,443,743</w:t>
            </w:r>
          </w:p>
        </w:tc>
        <w:tc>
          <w:tcPr>
            <w:tcW w:w="1235" w:type="dxa"/>
            <w:tcBorders>
              <w:top w:val="nil"/>
              <w:left w:val="nil"/>
              <w:bottom w:val="nil"/>
              <w:right w:val="nil"/>
            </w:tcBorders>
            <w:shd w:val="clear" w:color="auto" w:fill="auto"/>
            <w:vAlign w:val="center"/>
            <w:hideMark/>
          </w:tcPr>
          <w:p w14:paraId="22FFB233" w14:textId="7DC89749" w:rsidR="007A7CD3" w:rsidRDefault="007A7CD3" w:rsidP="007A7CD3">
            <w:pPr>
              <w:jc w:val="right"/>
              <w:rPr>
                <w:rFonts w:ascii="Arial" w:hAnsi="Arial" w:cs="Arial"/>
                <w:color w:val="000000"/>
                <w:sz w:val="16"/>
                <w:szCs w:val="16"/>
              </w:rPr>
            </w:pPr>
            <w:r>
              <w:rPr>
                <w:rFonts w:ascii="Arial" w:hAnsi="Arial" w:cs="Arial"/>
                <w:color w:val="000000"/>
                <w:sz w:val="16"/>
                <w:szCs w:val="16"/>
              </w:rPr>
              <w:t>16,394,852</w:t>
            </w:r>
          </w:p>
        </w:tc>
        <w:tc>
          <w:tcPr>
            <w:tcW w:w="1235" w:type="dxa"/>
            <w:tcBorders>
              <w:top w:val="nil"/>
              <w:left w:val="nil"/>
              <w:bottom w:val="nil"/>
              <w:right w:val="nil"/>
            </w:tcBorders>
            <w:shd w:val="clear" w:color="auto" w:fill="auto"/>
            <w:vAlign w:val="center"/>
            <w:hideMark/>
          </w:tcPr>
          <w:p w14:paraId="46640D51" w14:textId="057C927A" w:rsidR="007A7CD3" w:rsidRDefault="007A7CD3" w:rsidP="007A7CD3">
            <w:pPr>
              <w:jc w:val="right"/>
              <w:rPr>
                <w:rFonts w:ascii="Arial" w:hAnsi="Arial" w:cs="Arial"/>
                <w:color w:val="000000"/>
                <w:sz w:val="16"/>
                <w:szCs w:val="16"/>
              </w:rPr>
            </w:pPr>
            <w:r>
              <w:rPr>
                <w:rFonts w:ascii="Arial" w:hAnsi="Arial" w:cs="Arial"/>
                <w:color w:val="000000"/>
                <w:sz w:val="16"/>
                <w:szCs w:val="16"/>
              </w:rPr>
              <w:t>7,248,075</w:t>
            </w:r>
          </w:p>
        </w:tc>
      </w:tr>
      <w:tr w:rsidR="007A7CD3" w14:paraId="2B43AB6E" w14:textId="77777777" w:rsidTr="001A4C72">
        <w:trPr>
          <w:trHeight w:val="300"/>
        </w:trPr>
        <w:tc>
          <w:tcPr>
            <w:tcW w:w="4436" w:type="dxa"/>
            <w:tcBorders>
              <w:top w:val="nil"/>
              <w:left w:val="nil"/>
              <w:bottom w:val="nil"/>
              <w:right w:val="nil"/>
            </w:tcBorders>
            <w:shd w:val="clear" w:color="auto" w:fill="auto"/>
            <w:noWrap/>
            <w:vAlign w:val="center"/>
            <w:hideMark/>
          </w:tcPr>
          <w:p w14:paraId="7F1C5225" w14:textId="77777777" w:rsidR="007A7CD3" w:rsidRDefault="007A7CD3" w:rsidP="007A7CD3">
            <w:pPr>
              <w:rPr>
                <w:rFonts w:ascii="Arial" w:hAnsi="Arial" w:cs="Arial"/>
                <w:color w:val="000000"/>
                <w:sz w:val="16"/>
                <w:szCs w:val="16"/>
              </w:rPr>
            </w:pPr>
            <w:r>
              <w:rPr>
                <w:rFonts w:ascii="Arial" w:hAnsi="Arial" w:cs="Arial"/>
                <w:color w:val="000000"/>
                <w:sz w:val="16"/>
                <w:szCs w:val="16"/>
              </w:rPr>
              <w:t>Bank deposits</w:t>
            </w:r>
          </w:p>
        </w:tc>
        <w:tc>
          <w:tcPr>
            <w:tcW w:w="1234" w:type="dxa"/>
            <w:tcBorders>
              <w:top w:val="nil"/>
              <w:left w:val="nil"/>
              <w:bottom w:val="nil"/>
              <w:right w:val="nil"/>
            </w:tcBorders>
            <w:shd w:val="clear" w:color="auto" w:fill="auto"/>
            <w:vAlign w:val="center"/>
            <w:hideMark/>
          </w:tcPr>
          <w:p w14:paraId="7C885C3C" w14:textId="6BEC9360" w:rsidR="007A7CD3" w:rsidRDefault="007A7CD3" w:rsidP="007A7CD3">
            <w:pPr>
              <w:jc w:val="right"/>
              <w:rPr>
                <w:rFonts w:ascii="Arial" w:hAnsi="Arial" w:cs="Arial"/>
                <w:color w:val="000000"/>
                <w:sz w:val="16"/>
                <w:szCs w:val="16"/>
              </w:rPr>
            </w:pPr>
            <w:r>
              <w:rPr>
                <w:rFonts w:ascii="Arial" w:hAnsi="Arial" w:cs="Arial"/>
                <w:color w:val="000000"/>
                <w:sz w:val="16"/>
                <w:szCs w:val="16"/>
              </w:rPr>
              <w:t>8,924,560</w:t>
            </w:r>
          </w:p>
        </w:tc>
        <w:tc>
          <w:tcPr>
            <w:tcW w:w="1235" w:type="dxa"/>
            <w:tcBorders>
              <w:top w:val="nil"/>
              <w:left w:val="nil"/>
              <w:bottom w:val="nil"/>
              <w:right w:val="nil"/>
            </w:tcBorders>
            <w:shd w:val="clear" w:color="auto" w:fill="auto"/>
            <w:vAlign w:val="center"/>
            <w:hideMark/>
          </w:tcPr>
          <w:p w14:paraId="1647614F" w14:textId="40A972EA" w:rsidR="007A7CD3" w:rsidRDefault="007A7CD3" w:rsidP="007A7CD3">
            <w:pPr>
              <w:jc w:val="right"/>
              <w:rPr>
                <w:rFonts w:ascii="Arial" w:hAnsi="Arial" w:cs="Arial"/>
                <w:color w:val="000000"/>
                <w:sz w:val="16"/>
                <w:szCs w:val="16"/>
              </w:rPr>
            </w:pPr>
            <w:r>
              <w:rPr>
                <w:rFonts w:ascii="Arial" w:hAnsi="Arial" w:cs="Arial"/>
                <w:color w:val="000000"/>
                <w:sz w:val="16"/>
                <w:szCs w:val="16"/>
              </w:rPr>
              <w:t>2,450,000</w:t>
            </w:r>
          </w:p>
        </w:tc>
        <w:tc>
          <w:tcPr>
            <w:tcW w:w="1235" w:type="dxa"/>
            <w:tcBorders>
              <w:top w:val="nil"/>
              <w:left w:val="nil"/>
              <w:bottom w:val="nil"/>
              <w:right w:val="nil"/>
            </w:tcBorders>
            <w:shd w:val="clear" w:color="auto" w:fill="auto"/>
            <w:vAlign w:val="center"/>
            <w:hideMark/>
          </w:tcPr>
          <w:p w14:paraId="4B6CE2C0" w14:textId="049FB958" w:rsidR="007A7CD3" w:rsidRDefault="007A7CD3" w:rsidP="007A7CD3">
            <w:pPr>
              <w:jc w:val="right"/>
              <w:rPr>
                <w:rFonts w:ascii="Arial" w:hAnsi="Arial" w:cs="Arial"/>
                <w:color w:val="000000"/>
                <w:sz w:val="16"/>
                <w:szCs w:val="16"/>
              </w:rPr>
            </w:pPr>
            <w:r>
              <w:rPr>
                <w:rFonts w:ascii="Arial" w:hAnsi="Arial" w:cs="Arial"/>
                <w:color w:val="000000"/>
                <w:sz w:val="16"/>
                <w:szCs w:val="16"/>
              </w:rPr>
              <w:t>3,000,000</w:t>
            </w:r>
          </w:p>
        </w:tc>
      </w:tr>
      <w:tr w:rsidR="007A7CD3" w14:paraId="2F7C447B" w14:textId="77777777" w:rsidTr="001A4C72">
        <w:trPr>
          <w:trHeight w:val="300"/>
        </w:trPr>
        <w:tc>
          <w:tcPr>
            <w:tcW w:w="4436" w:type="dxa"/>
            <w:tcBorders>
              <w:top w:val="nil"/>
              <w:left w:val="nil"/>
              <w:bottom w:val="nil"/>
              <w:right w:val="nil"/>
            </w:tcBorders>
            <w:shd w:val="clear" w:color="auto" w:fill="auto"/>
            <w:noWrap/>
            <w:vAlign w:val="center"/>
            <w:hideMark/>
          </w:tcPr>
          <w:p w14:paraId="5E145FF8" w14:textId="77777777" w:rsidR="007A7CD3" w:rsidRDefault="007A7CD3" w:rsidP="007A7CD3">
            <w:pPr>
              <w:rPr>
                <w:rFonts w:ascii="Arial" w:hAnsi="Arial" w:cs="Arial"/>
                <w:color w:val="000000"/>
                <w:sz w:val="16"/>
                <w:szCs w:val="16"/>
              </w:rPr>
            </w:pPr>
            <w:r>
              <w:rPr>
                <w:rFonts w:ascii="Arial" w:hAnsi="Arial" w:cs="Arial"/>
                <w:color w:val="000000"/>
                <w:sz w:val="16"/>
                <w:szCs w:val="16"/>
              </w:rPr>
              <w:t>Loan receivables</w:t>
            </w:r>
          </w:p>
        </w:tc>
        <w:tc>
          <w:tcPr>
            <w:tcW w:w="1234" w:type="dxa"/>
            <w:tcBorders>
              <w:top w:val="nil"/>
              <w:left w:val="nil"/>
              <w:bottom w:val="nil"/>
              <w:right w:val="nil"/>
            </w:tcBorders>
            <w:shd w:val="clear" w:color="auto" w:fill="auto"/>
            <w:vAlign w:val="center"/>
            <w:hideMark/>
          </w:tcPr>
          <w:p w14:paraId="4EB29219" w14:textId="14605105" w:rsidR="007A7CD3" w:rsidRDefault="007A7CD3" w:rsidP="007A7CD3">
            <w:pPr>
              <w:jc w:val="right"/>
              <w:rPr>
                <w:rFonts w:ascii="Arial" w:hAnsi="Arial" w:cs="Arial"/>
                <w:color w:val="000000"/>
                <w:sz w:val="16"/>
                <w:szCs w:val="16"/>
              </w:rPr>
            </w:pPr>
            <w:r>
              <w:rPr>
                <w:rFonts w:ascii="Arial" w:hAnsi="Arial" w:cs="Arial"/>
                <w:color w:val="000000"/>
                <w:sz w:val="16"/>
                <w:szCs w:val="16"/>
              </w:rPr>
              <w:t>108,834,304</w:t>
            </w:r>
          </w:p>
        </w:tc>
        <w:tc>
          <w:tcPr>
            <w:tcW w:w="1235" w:type="dxa"/>
            <w:tcBorders>
              <w:top w:val="nil"/>
              <w:left w:val="nil"/>
              <w:bottom w:val="nil"/>
              <w:right w:val="nil"/>
            </w:tcBorders>
            <w:shd w:val="clear" w:color="auto" w:fill="auto"/>
            <w:vAlign w:val="center"/>
            <w:hideMark/>
          </w:tcPr>
          <w:p w14:paraId="339B9D3A" w14:textId="5F543DA9" w:rsidR="007A7CD3" w:rsidRDefault="007A7CD3" w:rsidP="007A7CD3">
            <w:pPr>
              <w:jc w:val="right"/>
              <w:rPr>
                <w:rFonts w:ascii="Arial" w:hAnsi="Arial" w:cs="Arial"/>
                <w:color w:val="000000"/>
                <w:sz w:val="16"/>
                <w:szCs w:val="16"/>
              </w:rPr>
            </w:pPr>
            <w:r>
              <w:rPr>
                <w:rFonts w:ascii="Arial" w:hAnsi="Arial" w:cs="Arial"/>
                <w:color w:val="000000"/>
                <w:sz w:val="16"/>
                <w:szCs w:val="16"/>
              </w:rPr>
              <w:t>80,027,661</w:t>
            </w:r>
          </w:p>
        </w:tc>
        <w:tc>
          <w:tcPr>
            <w:tcW w:w="1235" w:type="dxa"/>
            <w:tcBorders>
              <w:top w:val="nil"/>
              <w:left w:val="nil"/>
              <w:bottom w:val="nil"/>
              <w:right w:val="nil"/>
            </w:tcBorders>
            <w:shd w:val="clear" w:color="auto" w:fill="auto"/>
            <w:vAlign w:val="center"/>
            <w:hideMark/>
          </w:tcPr>
          <w:p w14:paraId="73EB933B" w14:textId="347517EE" w:rsidR="007A7CD3" w:rsidRDefault="007A7CD3" w:rsidP="007A7CD3">
            <w:pPr>
              <w:jc w:val="right"/>
              <w:rPr>
                <w:rFonts w:ascii="Arial" w:hAnsi="Arial" w:cs="Arial"/>
                <w:color w:val="000000"/>
                <w:sz w:val="16"/>
                <w:szCs w:val="16"/>
              </w:rPr>
            </w:pPr>
            <w:r>
              <w:rPr>
                <w:rFonts w:ascii="Arial" w:hAnsi="Arial" w:cs="Arial"/>
                <w:color w:val="000000"/>
                <w:sz w:val="16"/>
                <w:szCs w:val="16"/>
              </w:rPr>
              <w:t>53,775,171</w:t>
            </w:r>
          </w:p>
        </w:tc>
      </w:tr>
      <w:tr w:rsidR="007A7CD3" w14:paraId="1CF4DFFB" w14:textId="77777777" w:rsidTr="001A4C72">
        <w:trPr>
          <w:trHeight w:val="300"/>
        </w:trPr>
        <w:tc>
          <w:tcPr>
            <w:tcW w:w="4436" w:type="dxa"/>
            <w:tcBorders>
              <w:top w:val="nil"/>
              <w:left w:val="nil"/>
              <w:bottom w:val="nil"/>
              <w:right w:val="nil"/>
            </w:tcBorders>
            <w:shd w:val="clear" w:color="auto" w:fill="auto"/>
            <w:noWrap/>
            <w:vAlign w:val="center"/>
            <w:hideMark/>
          </w:tcPr>
          <w:p w14:paraId="4D5BFAE0" w14:textId="77777777" w:rsidR="007A7CD3" w:rsidRDefault="007A7CD3" w:rsidP="007A7CD3">
            <w:pPr>
              <w:rPr>
                <w:rFonts w:ascii="Arial" w:hAnsi="Arial" w:cs="Arial"/>
                <w:color w:val="000000"/>
                <w:sz w:val="16"/>
                <w:szCs w:val="16"/>
              </w:rPr>
            </w:pPr>
            <w:r>
              <w:rPr>
                <w:rFonts w:ascii="Arial" w:hAnsi="Arial" w:cs="Arial"/>
                <w:color w:val="000000"/>
                <w:sz w:val="16"/>
                <w:szCs w:val="16"/>
              </w:rPr>
              <w:t>Other assets</w:t>
            </w:r>
          </w:p>
        </w:tc>
        <w:tc>
          <w:tcPr>
            <w:tcW w:w="1234" w:type="dxa"/>
            <w:tcBorders>
              <w:top w:val="nil"/>
              <w:left w:val="nil"/>
              <w:bottom w:val="nil"/>
              <w:right w:val="nil"/>
            </w:tcBorders>
            <w:shd w:val="clear" w:color="auto" w:fill="auto"/>
            <w:vAlign w:val="center"/>
            <w:hideMark/>
          </w:tcPr>
          <w:p w14:paraId="5CB43532" w14:textId="790368B5" w:rsidR="007A7CD3" w:rsidRDefault="007A7CD3" w:rsidP="007A7CD3">
            <w:pPr>
              <w:jc w:val="right"/>
              <w:rPr>
                <w:rFonts w:ascii="Arial" w:hAnsi="Arial" w:cs="Arial"/>
                <w:color w:val="000000"/>
                <w:sz w:val="16"/>
                <w:szCs w:val="16"/>
              </w:rPr>
            </w:pPr>
            <w:r>
              <w:rPr>
                <w:rFonts w:ascii="Arial" w:hAnsi="Arial" w:cs="Arial"/>
                <w:color w:val="000000"/>
                <w:sz w:val="16"/>
                <w:szCs w:val="16"/>
              </w:rPr>
              <w:t>483,197</w:t>
            </w:r>
          </w:p>
        </w:tc>
        <w:tc>
          <w:tcPr>
            <w:tcW w:w="1235" w:type="dxa"/>
            <w:tcBorders>
              <w:top w:val="nil"/>
              <w:left w:val="nil"/>
              <w:bottom w:val="nil"/>
              <w:right w:val="nil"/>
            </w:tcBorders>
            <w:shd w:val="clear" w:color="auto" w:fill="auto"/>
            <w:vAlign w:val="center"/>
            <w:hideMark/>
          </w:tcPr>
          <w:p w14:paraId="0869A67E" w14:textId="77717EB7" w:rsidR="007A7CD3" w:rsidRDefault="007A7CD3" w:rsidP="007A7CD3">
            <w:pPr>
              <w:jc w:val="right"/>
              <w:rPr>
                <w:rFonts w:ascii="Arial" w:hAnsi="Arial" w:cs="Arial"/>
                <w:color w:val="000000"/>
                <w:sz w:val="16"/>
                <w:szCs w:val="16"/>
              </w:rPr>
            </w:pPr>
            <w:r>
              <w:rPr>
                <w:rFonts w:ascii="Arial" w:hAnsi="Arial" w:cs="Arial"/>
                <w:color w:val="000000"/>
                <w:sz w:val="16"/>
                <w:szCs w:val="16"/>
              </w:rPr>
              <w:t>278,706</w:t>
            </w:r>
          </w:p>
        </w:tc>
        <w:tc>
          <w:tcPr>
            <w:tcW w:w="1235" w:type="dxa"/>
            <w:tcBorders>
              <w:top w:val="nil"/>
              <w:left w:val="nil"/>
              <w:bottom w:val="nil"/>
              <w:right w:val="nil"/>
            </w:tcBorders>
            <w:shd w:val="clear" w:color="auto" w:fill="auto"/>
            <w:vAlign w:val="center"/>
            <w:hideMark/>
          </w:tcPr>
          <w:p w14:paraId="5824F5C1" w14:textId="0ADE0DE5" w:rsidR="007A7CD3" w:rsidRDefault="007A7CD3" w:rsidP="007A7CD3">
            <w:pPr>
              <w:jc w:val="right"/>
              <w:rPr>
                <w:rFonts w:ascii="Arial" w:hAnsi="Arial" w:cs="Arial"/>
                <w:color w:val="000000"/>
                <w:sz w:val="16"/>
                <w:szCs w:val="16"/>
              </w:rPr>
            </w:pPr>
            <w:r>
              <w:rPr>
                <w:rFonts w:ascii="Arial" w:hAnsi="Arial" w:cs="Arial"/>
                <w:color w:val="000000"/>
                <w:sz w:val="16"/>
                <w:szCs w:val="16"/>
              </w:rPr>
              <w:t>489,259</w:t>
            </w:r>
          </w:p>
        </w:tc>
      </w:tr>
      <w:tr w:rsidR="007A7CD3" w14:paraId="7F9D0989" w14:textId="77777777" w:rsidTr="001A4C72">
        <w:trPr>
          <w:trHeight w:val="300"/>
        </w:trPr>
        <w:tc>
          <w:tcPr>
            <w:tcW w:w="4436" w:type="dxa"/>
            <w:tcBorders>
              <w:top w:val="nil"/>
              <w:left w:val="nil"/>
              <w:bottom w:val="nil"/>
              <w:right w:val="nil"/>
            </w:tcBorders>
            <w:shd w:val="clear" w:color="auto" w:fill="auto"/>
            <w:noWrap/>
            <w:vAlign w:val="center"/>
            <w:hideMark/>
          </w:tcPr>
          <w:p w14:paraId="7941651D" w14:textId="77777777" w:rsidR="007A7CD3" w:rsidRDefault="007A7CD3" w:rsidP="007A7CD3">
            <w:pPr>
              <w:rPr>
                <w:rFonts w:ascii="Arial" w:hAnsi="Arial" w:cs="Arial"/>
                <w:b/>
                <w:bCs/>
                <w:color w:val="000000"/>
                <w:sz w:val="16"/>
                <w:szCs w:val="16"/>
              </w:rPr>
            </w:pPr>
            <w:r>
              <w:rPr>
                <w:rFonts w:ascii="Arial" w:hAnsi="Arial" w:cs="Arial"/>
                <w:b/>
                <w:bCs/>
                <w:color w:val="000000"/>
                <w:sz w:val="16"/>
                <w:szCs w:val="16"/>
              </w:rPr>
              <w:t>Total assets</w:t>
            </w:r>
          </w:p>
        </w:tc>
        <w:tc>
          <w:tcPr>
            <w:tcW w:w="1234" w:type="dxa"/>
            <w:tcBorders>
              <w:top w:val="nil"/>
              <w:left w:val="nil"/>
              <w:bottom w:val="nil"/>
              <w:right w:val="nil"/>
            </w:tcBorders>
            <w:shd w:val="clear" w:color="auto" w:fill="auto"/>
            <w:vAlign w:val="center"/>
            <w:hideMark/>
          </w:tcPr>
          <w:p w14:paraId="5CD10DEF" w14:textId="0BDC3EE0" w:rsidR="007A7CD3" w:rsidRDefault="007A7CD3" w:rsidP="007A7CD3">
            <w:pPr>
              <w:jc w:val="right"/>
              <w:rPr>
                <w:rFonts w:ascii="Arial" w:hAnsi="Arial" w:cs="Arial"/>
                <w:b/>
                <w:bCs/>
                <w:color w:val="000000"/>
                <w:sz w:val="16"/>
                <w:szCs w:val="16"/>
              </w:rPr>
            </w:pPr>
            <w:r>
              <w:rPr>
                <w:rFonts w:ascii="Arial" w:hAnsi="Arial" w:cs="Arial"/>
                <w:b/>
                <w:bCs/>
                <w:color w:val="000000"/>
                <w:sz w:val="16"/>
                <w:szCs w:val="16"/>
              </w:rPr>
              <w:t>127,685,804</w:t>
            </w:r>
          </w:p>
        </w:tc>
        <w:tc>
          <w:tcPr>
            <w:tcW w:w="1235" w:type="dxa"/>
            <w:tcBorders>
              <w:top w:val="nil"/>
              <w:left w:val="nil"/>
              <w:bottom w:val="nil"/>
              <w:right w:val="nil"/>
            </w:tcBorders>
            <w:shd w:val="clear" w:color="auto" w:fill="auto"/>
            <w:vAlign w:val="center"/>
            <w:hideMark/>
          </w:tcPr>
          <w:p w14:paraId="5B10622A" w14:textId="2419D463" w:rsidR="007A7CD3" w:rsidRDefault="007A7CD3" w:rsidP="007A7CD3">
            <w:pPr>
              <w:jc w:val="right"/>
              <w:rPr>
                <w:rFonts w:ascii="Arial" w:hAnsi="Arial" w:cs="Arial"/>
                <w:b/>
                <w:bCs/>
                <w:color w:val="000000"/>
                <w:sz w:val="16"/>
                <w:szCs w:val="16"/>
              </w:rPr>
            </w:pPr>
            <w:r>
              <w:rPr>
                <w:rFonts w:ascii="Arial" w:hAnsi="Arial" w:cs="Arial"/>
                <w:b/>
                <w:bCs/>
                <w:color w:val="000000"/>
                <w:sz w:val="16"/>
                <w:szCs w:val="16"/>
              </w:rPr>
              <w:t>99,151,219</w:t>
            </w:r>
          </w:p>
        </w:tc>
        <w:tc>
          <w:tcPr>
            <w:tcW w:w="1235" w:type="dxa"/>
            <w:tcBorders>
              <w:top w:val="nil"/>
              <w:left w:val="nil"/>
              <w:bottom w:val="nil"/>
              <w:right w:val="nil"/>
            </w:tcBorders>
            <w:shd w:val="clear" w:color="auto" w:fill="auto"/>
            <w:vAlign w:val="center"/>
            <w:hideMark/>
          </w:tcPr>
          <w:p w14:paraId="1E92C505" w14:textId="20BB942A" w:rsidR="007A7CD3" w:rsidRDefault="007A7CD3" w:rsidP="007A7CD3">
            <w:pPr>
              <w:jc w:val="right"/>
              <w:rPr>
                <w:rFonts w:ascii="Arial" w:hAnsi="Arial" w:cs="Arial"/>
                <w:b/>
                <w:bCs/>
                <w:color w:val="000000"/>
                <w:sz w:val="16"/>
                <w:szCs w:val="16"/>
              </w:rPr>
            </w:pPr>
            <w:r>
              <w:rPr>
                <w:rFonts w:ascii="Arial" w:hAnsi="Arial" w:cs="Arial"/>
                <w:b/>
                <w:bCs/>
                <w:color w:val="000000"/>
                <w:sz w:val="16"/>
                <w:szCs w:val="16"/>
              </w:rPr>
              <w:t>64,512,505</w:t>
            </w:r>
          </w:p>
        </w:tc>
      </w:tr>
      <w:tr w:rsidR="00173D48" w14:paraId="12D04DF8" w14:textId="77777777" w:rsidTr="001A4C72">
        <w:trPr>
          <w:trHeight w:val="300"/>
        </w:trPr>
        <w:tc>
          <w:tcPr>
            <w:tcW w:w="4436" w:type="dxa"/>
            <w:tcBorders>
              <w:top w:val="nil"/>
              <w:left w:val="nil"/>
              <w:bottom w:val="nil"/>
              <w:right w:val="nil"/>
            </w:tcBorders>
            <w:shd w:val="clear" w:color="auto" w:fill="auto"/>
            <w:noWrap/>
            <w:vAlign w:val="center"/>
            <w:hideMark/>
          </w:tcPr>
          <w:p w14:paraId="4683B9DD" w14:textId="77777777" w:rsidR="00173D48" w:rsidRDefault="00173D48" w:rsidP="00173D48">
            <w:pPr>
              <w:jc w:val="right"/>
              <w:rPr>
                <w:rFonts w:ascii="Arial" w:hAnsi="Arial" w:cs="Arial"/>
                <w:b/>
                <w:bCs/>
                <w:color w:val="000000"/>
                <w:sz w:val="16"/>
                <w:szCs w:val="16"/>
              </w:rPr>
            </w:pPr>
          </w:p>
        </w:tc>
        <w:tc>
          <w:tcPr>
            <w:tcW w:w="1234" w:type="dxa"/>
            <w:tcBorders>
              <w:top w:val="nil"/>
              <w:left w:val="nil"/>
              <w:bottom w:val="nil"/>
              <w:right w:val="nil"/>
            </w:tcBorders>
            <w:shd w:val="clear" w:color="auto" w:fill="auto"/>
            <w:vAlign w:val="center"/>
            <w:hideMark/>
          </w:tcPr>
          <w:p w14:paraId="467E3F1B" w14:textId="77777777" w:rsidR="00173D48" w:rsidRDefault="00173D48" w:rsidP="00173D48">
            <w:pPr>
              <w:rPr>
                <w:sz w:val="20"/>
                <w:szCs w:val="20"/>
              </w:rPr>
            </w:pPr>
          </w:p>
        </w:tc>
        <w:tc>
          <w:tcPr>
            <w:tcW w:w="1235" w:type="dxa"/>
            <w:tcBorders>
              <w:top w:val="nil"/>
              <w:left w:val="nil"/>
              <w:bottom w:val="nil"/>
              <w:right w:val="nil"/>
            </w:tcBorders>
            <w:shd w:val="clear" w:color="auto" w:fill="auto"/>
            <w:vAlign w:val="center"/>
            <w:hideMark/>
          </w:tcPr>
          <w:p w14:paraId="7447D741" w14:textId="77777777" w:rsidR="00173D48" w:rsidRDefault="00173D48" w:rsidP="00173D48">
            <w:pPr>
              <w:jc w:val="right"/>
              <w:rPr>
                <w:sz w:val="20"/>
                <w:szCs w:val="20"/>
              </w:rPr>
            </w:pPr>
          </w:p>
        </w:tc>
        <w:tc>
          <w:tcPr>
            <w:tcW w:w="1235" w:type="dxa"/>
            <w:tcBorders>
              <w:top w:val="nil"/>
              <w:left w:val="nil"/>
              <w:bottom w:val="nil"/>
              <w:right w:val="nil"/>
            </w:tcBorders>
            <w:shd w:val="clear" w:color="auto" w:fill="auto"/>
            <w:vAlign w:val="center"/>
            <w:hideMark/>
          </w:tcPr>
          <w:p w14:paraId="0319E0C3" w14:textId="77777777" w:rsidR="00173D48" w:rsidRDefault="00173D48" w:rsidP="00173D48">
            <w:pPr>
              <w:jc w:val="right"/>
              <w:rPr>
                <w:sz w:val="20"/>
                <w:szCs w:val="20"/>
              </w:rPr>
            </w:pPr>
          </w:p>
        </w:tc>
      </w:tr>
      <w:tr w:rsidR="00E57EDC" w14:paraId="5D9A062F" w14:textId="77777777" w:rsidTr="001A4C72">
        <w:trPr>
          <w:trHeight w:val="300"/>
        </w:trPr>
        <w:tc>
          <w:tcPr>
            <w:tcW w:w="4436" w:type="dxa"/>
            <w:tcBorders>
              <w:top w:val="nil"/>
              <w:left w:val="nil"/>
              <w:bottom w:val="nil"/>
              <w:right w:val="nil"/>
            </w:tcBorders>
            <w:shd w:val="clear" w:color="auto" w:fill="auto"/>
            <w:noWrap/>
            <w:vAlign w:val="center"/>
            <w:hideMark/>
          </w:tcPr>
          <w:p w14:paraId="5C4BCE41" w14:textId="77777777" w:rsidR="00E57EDC" w:rsidRDefault="00E57EDC" w:rsidP="00E57EDC">
            <w:pPr>
              <w:rPr>
                <w:rFonts w:ascii="Arial" w:hAnsi="Arial" w:cs="Arial"/>
                <w:color w:val="000000"/>
                <w:sz w:val="16"/>
                <w:szCs w:val="16"/>
              </w:rPr>
            </w:pPr>
            <w:r>
              <w:rPr>
                <w:rFonts w:ascii="Arial" w:hAnsi="Arial" w:cs="Arial"/>
                <w:color w:val="000000"/>
                <w:sz w:val="16"/>
                <w:szCs w:val="16"/>
              </w:rPr>
              <w:t>Term deposits</w:t>
            </w:r>
          </w:p>
        </w:tc>
        <w:tc>
          <w:tcPr>
            <w:tcW w:w="1234" w:type="dxa"/>
            <w:tcBorders>
              <w:top w:val="nil"/>
              <w:left w:val="nil"/>
              <w:bottom w:val="nil"/>
              <w:right w:val="nil"/>
            </w:tcBorders>
            <w:shd w:val="clear" w:color="auto" w:fill="auto"/>
            <w:vAlign w:val="center"/>
            <w:hideMark/>
          </w:tcPr>
          <w:p w14:paraId="63347611" w14:textId="28726748" w:rsidR="00E57EDC" w:rsidRDefault="00E57EDC" w:rsidP="00E57EDC">
            <w:pPr>
              <w:jc w:val="right"/>
              <w:rPr>
                <w:rFonts w:ascii="Arial" w:hAnsi="Arial" w:cs="Arial"/>
                <w:color w:val="000000"/>
                <w:sz w:val="16"/>
                <w:szCs w:val="16"/>
              </w:rPr>
            </w:pPr>
            <w:r>
              <w:rPr>
                <w:rFonts w:ascii="Arial" w:hAnsi="Arial" w:cs="Arial"/>
                <w:color w:val="000000"/>
                <w:sz w:val="16"/>
                <w:szCs w:val="16"/>
              </w:rPr>
              <w:t>109,886,032</w:t>
            </w:r>
          </w:p>
        </w:tc>
        <w:tc>
          <w:tcPr>
            <w:tcW w:w="1235" w:type="dxa"/>
            <w:tcBorders>
              <w:top w:val="nil"/>
              <w:left w:val="nil"/>
              <w:bottom w:val="nil"/>
              <w:right w:val="nil"/>
            </w:tcBorders>
            <w:shd w:val="clear" w:color="auto" w:fill="auto"/>
            <w:vAlign w:val="center"/>
            <w:hideMark/>
          </w:tcPr>
          <w:p w14:paraId="6EA25DF0" w14:textId="2000F2E3" w:rsidR="00E57EDC" w:rsidRDefault="00E57EDC" w:rsidP="00E57EDC">
            <w:pPr>
              <w:jc w:val="right"/>
              <w:rPr>
                <w:rFonts w:ascii="Arial" w:hAnsi="Arial" w:cs="Arial"/>
                <w:color w:val="000000"/>
                <w:sz w:val="16"/>
                <w:szCs w:val="16"/>
              </w:rPr>
            </w:pPr>
            <w:r>
              <w:rPr>
                <w:rFonts w:ascii="Arial" w:hAnsi="Arial" w:cs="Arial"/>
                <w:color w:val="000000"/>
                <w:sz w:val="16"/>
                <w:szCs w:val="16"/>
              </w:rPr>
              <w:t>88,047,219</w:t>
            </w:r>
          </w:p>
        </w:tc>
        <w:tc>
          <w:tcPr>
            <w:tcW w:w="1235" w:type="dxa"/>
            <w:tcBorders>
              <w:top w:val="nil"/>
              <w:left w:val="nil"/>
              <w:bottom w:val="nil"/>
              <w:right w:val="nil"/>
            </w:tcBorders>
            <w:shd w:val="clear" w:color="auto" w:fill="auto"/>
            <w:vAlign w:val="center"/>
            <w:hideMark/>
          </w:tcPr>
          <w:p w14:paraId="65FAB260" w14:textId="4F0B6612" w:rsidR="00E57EDC" w:rsidRDefault="00E57EDC" w:rsidP="00E57EDC">
            <w:pPr>
              <w:jc w:val="right"/>
              <w:rPr>
                <w:rFonts w:ascii="Arial" w:hAnsi="Arial" w:cs="Arial"/>
                <w:color w:val="000000"/>
                <w:sz w:val="16"/>
                <w:szCs w:val="16"/>
              </w:rPr>
            </w:pPr>
            <w:r>
              <w:rPr>
                <w:rFonts w:ascii="Arial" w:hAnsi="Arial" w:cs="Arial"/>
                <w:color w:val="000000"/>
                <w:sz w:val="16"/>
                <w:szCs w:val="16"/>
              </w:rPr>
              <w:t>57,863,184</w:t>
            </w:r>
          </w:p>
        </w:tc>
      </w:tr>
      <w:tr w:rsidR="00E57EDC" w14:paraId="07B31F06" w14:textId="77777777" w:rsidTr="001A4C72">
        <w:trPr>
          <w:trHeight w:val="300"/>
        </w:trPr>
        <w:tc>
          <w:tcPr>
            <w:tcW w:w="4436" w:type="dxa"/>
            <w:tcBorders>
              <w:top w:val="nil"/>
              <w:left w:val="nil"/>
              <w:bottom w:val="nil"/>
              <w:right w:val="nil"/>
            </w:tcBorders>
            <w:shd w:val="clear" w:color="auto" w:fill="auto"/>
            <w:noWrap/>
            <w:vAlign w:val="center"/>
            <w:hideMark/>
          </w:tcPr>
          <w:p w14:paraId="78EC15D5" w14:textId="77777777" w:rsidR="00E57EDC" w:rsidRDefault="00E57EDC" w:rsidP="00E57EDC">
            <w:pPr>
              <w:rPr>
                <w:rFonts w:ascii="Arial" w:hAnsi="Arial" w:cs="Arial"/>
                <w:color w:val="000000"/>
                <w:sz w:val="16"/>
                <w:szCs w:val="16"/>
              </w:rPr>
            </w:pPr>
            <w:r>
              <w:rPr>
                <w:rFonts w:ascii="Arial" w:hAnsi="Arial" w:cs="Arial"/>
                <w:color w:val="000000"/>
                <w:sz w:val="16"/>
                <w:szCs w:val="16"/>
              </w:rPr>
              <w:t>Other liabilities</w:t>
            </w:r>
          </w:p>
        </w:tc>
        <w:tc>
          <w:tcPr>
            <w:tcW w:w="1234" w:type="dxa"/>
            <w:tcBorders>
              <w:top w:val="nil"/>
              <w:left w:val="nil"/>
              <w:bottom w:val="nil"/>
              <w:right w:val="nil"/>
            </w:tcBorders>
            <w:shd w:val="clear" w:color="auto" w:fill="auto"/>
            <w:vAlign w:val="center"/>
            <w:hideMark/>
          </w:tcPr>
          <w:p w14:paraId="140E87A4" w14:textId="01A04EF0" w:rsidR="00E57EDC" w:rsidRDefault="00E57EDC" w:rsidP="00E57EDC">
            <w:pPr>
              <w:jc w:val="right"/>
              <w:rPr>
                <w:rFonts w:ascii="Arial" w:hAnsi="Arial" w:cs="Arial"/>
                <w:color w:val="000000"/>
                <w:sz w:val="16"/>
                <w:szCs w:val="16"/>
              </w:rPr>
            </w:pPr>
            <w:r>
              <w:rPr>
                <w:rFonts w:ascii="Arial" w:hAnsi="Arial" w:cs="Arial"/>
                <w:color w:val="000000"/>
                <w:sz w:val="16"/>
                <w:szCs w:val="16"/>
              </w:rPr>
              <w:t>1,811,450</w:t>
            </w:r>
          </w:p>
        </w:tc>
        <w:tc>
          <w:tcPr>
            <w:tcW w:w="1235" w:type="dxa"/>
            <w:tcBorders>
              <w:top w:val="nil"/>
              <w:left w:val="nil"/>
              <w:bottom w:val="nil"/>
              <w:right w:val="nil"/>
            </w:tcBorders>
            <w:shd w:val="clear" w:color="auto" w:fill="auto"/>
            <w:vAlign w:val="center"/>
            <w:hideMark/>
          </w:tcPr>
          <w:p w14:paraId="0C764A6A" w14:textId="5482191F" w:rsidR="00E57EDC" w:rsidRDefault="00E57EDC" w:rsidP="00E57EDC">
            <w:pPr>
              <w:jc w:val="right"/>
              <w:rPr>
                <w:rFonts w:ascii="Arial" w:hAnsi="Arial" w:cs="Arial"/>
                <w:color w:val="000000"/>
                <w:sz w:val="16"/>
                <w:szCs w:val="16"/>
              </w:rPr>
            </w:pPr>
            <w:r>
              <w:rPr>
                <w:rFonts w:ascii="Arial" w:hAnsi="Arial" w:cs="Arial"/>
                <w:color w:val="000000"/>
                <w:sz w:val="16"/>
                <w:szCs w:val="16"/>
              </w:rPr>
              <w:t>1,360,998</w:t>
            </w:r>
          </w:p>
        </w:tc>
        <w:tc>
          <w:tcPr>
            <w:tcW w:w="1235" w:type="dxa"/>
            <w:tcBorders>
              <w:top w:val="nil"/>
              <w:left w:val="nil"/>
              <w:bottom w:val="nil"/>
              <w:right w:val="nil"/>
            </w:tcBorders>
            <w:shd w:val="clear" w:color="auto" w:fill="auto"/>
            <w:vAlign w:val="center"/>
            <w:hideMark/>
          </w:tcPr>
          <w:p w14:paraId="311181F3" w14:textId="1A0DF685" w:rsidR="00E57EDC" w:rsidRDefault="00E57EDC" w:rsidP="00E57EDC">
            <w:pPr>
              <w:jc w:val="right"/>
              <w:rPr>
                <w:rFonts w:ascii="Arial" w:hAnsi="Arial" w:cs="Arial"/>
                <w:color w:val="000000"/>
                <w:sz w:val="16"/>
                <w:szCs w:val="16"/>
              </w:rPr>
            </w:pPr>
            <w:r>
              <w:rPr>
                <w:rFonts w:ascii="Arial" w:hAnsi="Arial" w:cs="Arial"/>
                <w:color w:val="000000"/>
                <w:sz w:val="16"/>
                <w:szCs w:val="16"/>
              </w:rPr>
              <w:t>593,197</w:t>
            </w:r>
          </w:p>
        </w:tc>
      </w:tr>
      <w:tr w:rsidR="00E57EDC" w14:paraId="2DFEBE4A" w14:textId="77777777" w:rsidTr="001A4C72">
        <w:trPr>
          <w:trHeight w:val="300"/>
        </w:trPr>
        <w:tc>
          <w:tcPr>
            <w:tcW w:w="4436" w:type="dxa"/>
            <w:tcBorders>
              <w:top w:val="nil"/>
              <w:left w:val="nil"/>
              <w:bottom w:val="nil"/>
              <w:right w:val="nil"/>
            </w:tcBorders>
            <w:shd w:val="clear" w:color="auto" w:fill="auto"/>
            <w:noWrap/>
            <w:vAlign w:val="center"/>
            <w:hideMark/>
          </w:tcPr>
          <w:p w14:paraId="7DB9D130" w14:textId="77777777" w:rsidR="00E57EDC" w:rsidRDefault="00E57EDC" w:rsidP="00E57EDC">
            <w:pPr>
              <w:rPr>
                <w:rFonts w:ascii="Arial" w:hAnsi="Arial" w:cs="Arial"/>
                <w:b/>
                <w:bCs/>
                <w:color w:val="000000"/>
                <w:sz w:val="16"/>
                <w:szCs w:val="16"/>
              </w:rPr>
            </w:pPr>
            <w:r>
              <w:rPr>
                <w:rFonts w:ascii="Arial" w:hAnsi="Arial" w:cs="Arial"/>
                <w:b/>
                <w:bCs/>
                <w:color w:val="000000"/>
                <w:sz w:val="16"/>
                <w:szCs w:val="16"/>
              </w:rPr>
              <w:t>Total liabilities</w:t>
            </w:r>
          </w:p>
        </w:tc>
        <w:tc>
          <w:tcPr>
            <w:tcW w:w="1234" w:type="dxa"/>
            <w:tcBorders>
              <w:top w:val="nil"/>
              <w:left w:val="nil"/>
              <w:bottom w:val="nil"/>
              <w:right w:val="nil"/>
            </w:tcBorders>
            <w:shd w:val="clear" w:color="auto" w:fill="auto"/>
            <w:vAlign w:val="center"/>
            <w:hideMark/>
          </w:tcPr>
          <w:p w14:paraId="5C9B1E7D" w14:textId="09B0F258" w:rsidR="00E57EDC" w:rsidRDefault="00E57EDC" w:rsidP="00E57EDC">
            <w:pPr>
              <w:jc w:val="right"/>
              <w:rPr>
                <w:rFonts w:ascii="Arial" w:hAnsi="Arial" w:cs="Arial"/>
                <w:b/>
                <w:bCs/>
                <w:color w:val="000000"/>
                <w:sz w:val="16"/>
                <w:szCs w:val="16"/>
              </w:rPr>
            </w:pPr>
            <w:r>
              <w:rPr>
                <w:rFonts w:ascii="Arial" w:hAnsi="Arial" w:cs="Arial"/>
                <w:b/>
                <w:bCs/>
                <w:color w:val="000000"/>
                <w:sz w:val="16"/>
                <w:szCs w:val="16"/>
              </w:rPr>
              <w:t>111,697,482</w:t>
            </w:r>
          </w:p>
        </w:tc>
        <w:tc>
          <w:tcPr>
            <w:tcW w:w="1235" w:type="dxa"/>
            <w:tcBorders>
              <w:top w:val="nil"/>
              <w:left w:val="nil"/>
              <w:bottom w:val="nil"/>
              <w:right w:val="nil"/>
            </w:tcBorders>
            <w:shd w:val="clear" w:color="auto" w:fill="auto"/>
            <w:vAlign w:val="center"/>
            <w:hideMark/>
          </w:tcPr>
          <w:p w14:paraId="45ED8B95" w14:textId="1EE1197E" w:rsidR="00E57EDC" w:rsidRDefault="00E57EDC" w:rsidP="00E57EDC">
            <w:pPr>
              <w:jc w:val="right"/>
              <w:rPr>
                <w:rFonts w:ascii="Arial" w:hAnsi="Arial" w:cs="Arial"/>
                <w:b/>
                <w:bCs/>
                <w:color w:val="000000"/>
                <w:sz w:val="16"/>
                <w:szCs w:val="16"/>
              </w:rPr>
            </w:pPr>
            <w:r>
              <w:rPr>
                <w:rFonts w:ascii="Arial" w:hAnsi="Arial" w:cs="Arial"/>
                <w:b/>
                <w:bCs/>
                <w:color w:val="000000"/>
                <w:sz w:val="16"/>
                <w:szCs w:val="16"/>
              </w:rPr>
              <w:t>89,408,217</w:t>
            </w:r>
          </w:p>
        </w:tc>
        <w:tc>
          <w:tcPr>
            <w:tcW w:w="1235" w:type="dxa"/>
            <w:tcBorders>
              <w:top w:val="nil"/>
              <w:left w:val="nil"/>
              <w:bottom w:val="nil"/>
              <w:right w:val="nil"/>
            </w:tcBorders>
            <w:shd w:val="clear" w:color="auto" w:fill="auto"/>
            <w:vAlign w:val="center"/>
            <w:hideMark/>
          </w:tcPr>
          <w:p w14:paraId="4510BBBB" w14:textId="3EA21F99" w:rsidR="00E57EDC" w:rsidRDefault="00E57EDC" w:rsidP="00E57EDC">
            <w:pPr>
              <w:jc w:val="right"/>
              <w:rPr>
                <w:rFonts w:ascii="Arial" w:hAnsi="Arial" w:cs="Arial"/>
                <w:b/>
                <w:bCs/>
                <w:color w:val="000000"/>
                <w:sz w:val="16"/>
                <w:szCs w:val="16"/>
              </w:rPr>
            </w:pPr>
            <w:r>
              <w:rPr>
                <w:rFonts w:ascii="Arial" w:hAnsi="Arial" w:cs="Arial"/>
                <w:b/>
                <w:bCs/>
                <w:color w:val="000000"/>
                <w:sz w:val="16"/>
                <w:szCs w:val="16"/>
              </w:rPr>
              <w:t>58,456,381</w:t>
            </w:r>
          </w:p>
        </w:tc>
      </w:tr>
      <w:tr w:rsidR="00173D48" w14:paraId="2ACD4AE5" w14:textId="77777777" w:rsidTr="001A4C72">
        <w:trPr>
          <w:trHeight w:val="300"/>
        </w:trPr>
        <w:tc>
          <w:tcPr>
            <w:tcW w:w="4436" w:type="dxa"/>
            <w:tcBorders>
              <w:top w:val="nil"/>
              <w:left w:val="nil"/>
              <w:bottom w:val="nil"/>
              <w:right w:val="nil"/>
            </w:tcBorders>
            <w:shd w:val="clear" w:color="auto" w:fill="auto"/>
            <w:noWrap/>
            <w:vAlign w:val="center"/>
            <w:hideMark/>
          </w:tcPr>
          <w:p w14:paraId="20D6F00E" w14:textId="77777777" w:rsidR="00173D48" w:rsidRDefault="00173D48" w:rsidP="00173D48">
            <w:pPr>
              <w:jc w:val="right"/>
              <w:rPr>
                <w:rFonts w:ascii="Arial" w:hAnsi="Arial" w:cs="Arial"/>
                <w:b/>
                <w:bCs/>
                <w:color w:val="000000"/>
                <w:sz w:val="16"/>
                <w:szCs w:val="16"/>
              </w:rPr>
            </w:pPr>
          </w:p>
        </w:tc>
        <w:tc>
          <w:tcPr>
            <w:tcW w:w="1234" w:type="dxa"/>
            <w:tcBorders>
              <w:top w:val="nil"/>
              <w:left w:val="nil"/>
              <w:bottom w:val="nil"/>
              <w:right w:val="nil"/>
            </w:tcBorders>
            <w:shd w:val="clear" w:color="auto" w:fill="auto"/>
            <w:vAlign w:val="center"/>
            <w:hideMark/>
          </w:tcPr>
          <w:p w14:paraId="70C41463" w14:textId="77777777" w:rsidR="00173D48" w:rsidRDefault="00173D48" w:rsidP="00173D48">
            <w:pPr>
              <w:rPr>
                <w:sz w:val="20"/>
                <w:szCs w:val="20"/>
              </w:rPr>
            </w:pPr>
          </w:p>
        </w:tc>
        <w:tc>
          <w:tcPr>
            <w:tcW w:w="1235" w:type="dxa"/>
            <w:tcBorders>
              <w:top w:val="nil"/>
              <w:left w:val="nil"/>
              <w:bottom w:val="nil"/>
              <w:right w:val="nil"/>
            </w:tcBorders>
            <w:shd w:val="clear" w:color="auto" w:fill="auto"/>
            <w:vAlign w:val="center"/>
            <w:hideMark/>
          </w:tcPr>
          <w:p w14:paraId="2D4F08DC" w14:textId="77777777" w:rsidR="00173D48" w:rsidRDefault="00173D48" w:rsidP="00173D48">
            <w:pPr>
              <w:jc w:val="right"/>
              <w:rPr>
                <w:sz w:val="20"/>
                <w:szCs w:val="20"/>
              </w:rPr>
            </w:pPr>
          </w:p>
        </w:tc>
        <w:tc>
          <w:tcPr>
            <w:tcW w:w="1235" w:type="dxa"/>
            <w:tcBorders>
              <w:top w:val="nil"/>
              <w:left w:val="nil"/>
              <w:bottom w:val="nil"/>
              <w:right w:val="nil"/>
            </w:tcBorders>
            <w:shd w:val="clear" w:color="auto" w:fill="auto"/>
            <w:vAlign w:val="center"/>
            <w:hideMark/>
          </w:tcPr>
          <w:p w14:paraId="4C13B32B" w14:textId="77777777" w:rsidR="00173D48" w:rsidRDefault="00173D48" w:rsidP="00173D48">
            <w:pPr>
              <w:jc w:val="right"/>
              <w:rPr>
                <w:sz w:val="20"/>
                <w:szCs w:val="20"/>
              </w:rPr>
            </w:pPr>
          </w:p>
        </w:tc>
      </w:tr>
      <w:tr w:rsidR="00026392" w14:paraId="37DB8EB2" w14:textId="77777777" w:rsidTr="001A4C72">
        <w:trPr>
          <w:trHeight w:val="300"/>
        </w:trPr>
        <w:tc>
          <w:tcPr>
            <w:tcW w:w="4436" w:type="dxa"/>
            <w:tcBorders>
              <w:top w:val="nil"/>
              <w:left w:val="nil"/>
              <w:bottom w:val="nil"/>
              <w:right w:val="nil"/>
            </w:tcBorders>
            <w:shd w:val="clear" w:color="auto" w:fill="auto"/>
            <w:noWrap/>
            <w:vAlign w:val="center"/>
            <w:hideMark/>
          </w:tcPr>
          <w:p w14:paraId="20BEF79A" w14:textId="77777777" w:rsidR="00026392" w:rsidRDefault="00026392" w:rsidP="00026392">
            <w:pPr>
              <w:rPr>
                <w:rFonts w:ascii="Arial" w:hAnsi="Arial" w:cs="Arial"/>
                <w:color w:val="000000"/>
                <w:sz w:val="16"/>
                <w:szCs w:val="16"/>
              </w:rPr>
            </w:pPr>
            <w:r>
              <w:rPr>
                <w:rFonts w:ascii="Arial" w:hAnsi="Arial" w:cs="Arial"/>
                <w:color w:val="000000"/>
                <w:sz w:val="16"/>
                <w:szCs w:val="16"/>
              </w:rPr>
              <w:t>Share capital</w:t>
            </w:r>
          </w:p>
        </w:tc>
        <w:tc>
          <w:tcPr>
            <w:tcW w:w="1234" w:type="dxa"/>
            <w:tcBorders>
              <w:top w:val="nil"/>
              <w:left w:val="nil"/>
              <w:bottom w:val="nil"/>
              <w:right w:val="nil"/>
            </w:tcBorders>
            <w:shd w:val="clear" w:color="auto" w:fill="auto"/>
            <w:vAlign w:val="center"/>
            <w:hideMark/>
          </w:tcPr>
          <w:p w14:paraId="592DA290" w14:textId="392D087C" w:rsidR="00026392" w:rsidRDefault="00026392" w:rsidP="00026392">
            <w:pPr>
              <w:jc w:val="right"/>
              <w:rPr>
                <w:rFonts w:ascii="Arial" w:hAnsi="Arial" w:cs="Arial"/>
                <w:color w:val="000000"/>
                <w:sz w:val="16"/>
                <w:szCs w:val="16"/>
              </w:rPr>
            </w:pPr>
            <w:r>
              <w:rPr>
                <w:rFonts w:ascii="Arial" w:hAnsi="Arial" w:cs="Arial"/>
                <w:color w:val="000000"/>
                <w:sz w:val="16"/>
                <w:szCs w:val="16"/>
              </w:rPr>
              <w:t>12,574,234</w:t>
            </w:r>
          </w:p>
        </w:tc>
        <w:tc>
          <w:tcPr>
            <w:tcW w:w="1235" w:type="dxa"/>
            <w:tcBorders>
              <w:top w:val="nil"/>
              <w:left w:val="nil"/>
              <w:bottom w:val="nil"/>
              <w:right w:val="nil"/>
            </w:tcBorders>
            <w:shd w:val="clear" w:color="auto" w:fill="auto"/>
            <w:vAlign w:val="center"/>
            <w:hideMark/>
          </w:tcPr>
          <w:p w14:paraId="46C2636D" w14:textId="360D1D17" w:rsidR="00026392" w:rsidRDefault="00026392" w:rsidP="00026392">
            <w:pPr>
              <w:jc w:val="right"/>
              <w:rPr>
                <w:rFonts w:ascii="Arial" w:hAnsi="Arial" w:cs="Arial"/>
                <w:color w:val="000000"/>
                <w:sz w:val="16"/>
                <w:szCs w:val="16"/>
              </w:rPr>
            </w:pPr>
            <w:r>
              <w:rPr>
                <w:rFonts w:ascii="Arial" w:hAnsi="Arial" w:cs="Arial"/>
                <w:color w:val="000000"/>
                <w:sz w:val="16"/>
                <w:szCs w:val="16"/>
              </w:rPr>
              <w:t>7,100,000</w:t>
            </w:r>
          </w:p>
        </w:tc>
        <w:tc>
          <w:tcPr>
            <w:tcW w:w="1235" w:type="dxa"/>
            <w:tcBorders>
              <w:top w:val="nil"/>
              <w:left w:val="nil"/>
              <w:bottom w:val="nil"/>
              <w:right w:val="nil"/>
            </w:tcBorders>
            <w:shd w:val="clear" w:color="auto" w:fill="auto"/>
            <w:vAlign w:val="center"/>
            <w:hideMark/>
          </w:tcPr>
          <w:p w14:paraId="2A6D22C4" w14:textId="19CF3570" w:rsidR="00026392" w:rsidRDefault="00026392" w:rsidP="00026392">
            <w:pPr>
              <w:jc w:val="right"/>
              <w:rPr>
                <w:rFonts w:ascii="Arial" w:hAnsi="Arial" w:cs="Arial"/>
                <w:color w:val="000000"/>
                <w:sz w:val="16"/>
                <w:szCs w:val="16"/>
              </w:rPr>
            </w:pPr>
            <w:r>
              <w:rPr>
                <w:rFonts w:ascii="Arial" w:hAnsi="Arial" w:cs="Arial"/>
                <w:color w:val="000000"/>
                <w:sz w:val="16"/>
                <w:szCs w:val="16"/>
              </w:rPr>
              <w:t>4,950,000</w:t>
            </w:r>
          </w:p>
        </w:tc>
      </w:tr>
      <w:tr w:rsidR="00026392" w14:paraId="17346BA8" w14:textId="77777777" w:rsidTr="001A4C72">
        <w:trPr>
          <w:trHeight w:val="300"/>
        </w:trPr>
        <w:tc>
          <w:tcPr>
            <w:tcW w:w="4436" w:type="dxa"/>
            <w:tcBorders>
              <w:top w:val="nil"/>
              <w:left w:val="nil"/>
              <w:bottom w:val="nil"/>
              <w:right w:val="nil"/>
            </w:tcBorders>
            <w:shd w:val="clear" w:color="auto" w:fill="auto"/>
            <w:noWrap/>
            <w:vAlign w:val="center"/>
            <w:hideMark/>
          </w:tcPr>
          <w:p w14:paraId="7CFE262A" w14:textId="77777777" w:rsidR="00026392" w:rsidRDefault="00026392" w:rsidP="00026392">
            <w:pPr>
              <w:rPr>
                <w:rFonts w:ascii="Arial" w:hAnsi="Arial" w:cs="Arial"/>
                <w:color w:val="000000"/>
                <w:sz w:val="16"/>
                <w:szCs w:val="16"/>
              </w:rPr>
            </w:pPr>
            <w:r>
              <w:rPr>
                <w:rFonts w:ascii="Arial" w:hAnsi="Arial" w:cs="Arial"/>
                <w:color w:val="000000"/>
                <w:sz w:val="16"/>
                <w:szCs w:val="16"/>
              </w:rPr>
              <w:t>Retained earnings</w:t>
            </w:r>
          </w:p>
        </w:tc>
        <w:tc>
          <w:tcPr>
            <w:tcW w:w="1234" w:type="dxa"/>
            <w:tcBorders>
              <w:top w:val="nil"/>
              <w:left w:val="nil"/>
              <w:bottom w:val="nil"/>
              <w:right w:val="nil"/>
            </w:tcBorders>
            <w:shd w:val="clear" w:color="auto" w:fill="auto"/>
            <w:vAlign w:val="center"/>
            <w:hideMark/>
          </w:tcPr>
          <w:p w14:paraId="3D0B21DA" w14:textId="37CCFB32" w:rsidR="00026392" w:rsidRDefault="00026392" w:rsidP="00026392">
            <w:pPr>
              <w:jc w:val="right"/>
              <w:rPr>
                <w:rFonts w:ascii="Arial" w:hAnsi="Arial" w:cs="Arial"/>
                <w:color w:val="000000"/>
                <w:sz w:val="16"/>
                <w:szCs w:val="16"/>
              </w:rPr>
            </w:pPr>
            <w:r>
              <w:rPr>
                <w:rFonts w:ascii="Arial" w:hAnsi="Arial" w:cs="Arial"/>
                <w:color w:val="000000"/>
                <w:sz w:val="16"/>
                <w:szCs w:val="16"/>
              </w:rPr>
              <w:t>3,414,088</w:t>
            </w:r>
          </w:p>
        </w:tc>
        <w:tc>
          <w:tcPr>
            <w:tcW w:w="1235" w:type="dxa"/>
            <w:tcBorders>
              <w:top w:val="nil"/>
              <w:left w:val="nil"/>
              <w:bottom w:val="nil"/>
              <w:right w:val="nil"/>
            </w:tcBorders>
            <w:shd w:val="clear" w:color="auto" w:fill="auto"/>
            <w:vAlign w:val="center"/>
            <w:hideMark/>
          </w:tcPr>
          <w:p w14:paraId="6F1E8720" w14:textId="203ECC32" w:rsidR="00026392" w:rsidRDefault="00026392" w:rsidP="00026392">
            <w:pPr>
              <w:jc w:val="right"/>
              <w:rPr>
                <w:rFonts w:ascii="Arial" w:hAnsi="Arial" w:cs="Arial"/>
                <w:color w:val="000000"/>
                <w:sz w:val="16"/>
                <w:szCs w:val="16"/>
              </w:rPr>
            </w:pPr>
            <w:r>
              <w:rPr>
                <w:rFonts w:ascii="Arial" w:hAnsi="Arial" w:cs="Arial"/>
                <w:color w:val="000000"/>
                <w:sz w:val="16"/>
                <w:szCs w:val="16"/>
              </w:rPr>
              <w:t>2,643,002</w:t>
            </w:r>
          </w:p>
        </w:tc>
        <w:tc>
          <w:tcPr>
            <w:tcW w:w="1235" w:type="dxa"/>
            <w:tcBorders>
              <w:top w:val="nil"/>
              <w:left w:val="nil"/>
              <w:bottom w:val="nil"/>
              <w:right w:val="nil"/>
            </w:tcBorders>
            <w:shd w:val="clear" w:color="auto" w:fill="auto"/>
            <w:vAlign w:val="center"/>
            <w:hideMark/>
          </w:tcPr>
          <w:p w14:paraId="0132DC27" w14:textId="562F15C5" w:rsidR="00026392" w:rsidRDefault="00026392" w:rsidP="00026392">
            <w:pPr>
              <w:jc w:val="right"/>
              <w:rPr>
                <w:rFonts w:ascii="Arial" w:hAnsi="Arial" w:cs="Arial"/>
                <w:color w:val="000000"/>
                <w:sz w:val="16"/>
                <w:szCs w:val="16"/>
              </w:rPr>
            </w:pPr>
            <w:r>
              <w:rPr>
                <w:rFonts w:ascii="Arial" w:hAnsi="Arial" w:cs="Arial"/>
                <w:color w:val="000000"/>
                <w:sz w:val="16"/>
                <w:szCs w:val="16"/>
              </w:rPr>
              <w:t>1,106,124</w:t>
            </w:r>
          </w:p>
        </w:tc>
      </w:tr>
      <w:tr w:rsidR="00026392" w14:paraId="496D5FCC" w14:textId="77777777" w:rsidTr="001A4C72">
        <w:trPr>
          <w:trHeight w:val="315"/>
        </w:trPr>
        <w:tc>
          <w:tcPr>
            <w:tcW w:w="4436" w:type="dxa"/>
            <w:tcBorders>
              <w:top w:val="nil"/>
              <w:left w:val="nil"/>
              <w:bottom w:val="nil"/>
              <w:right w:val="nil"/>
            </w:tcBorders>
            <w:shd w:val="clear" w:color="auto" w:fill="auto"/>
            <w:noWrap/>
            <w:vAlign w:val="center"/>
            <w:hideMark/>
          </w:tcPr>
          <w:p w14:paraId="5112DB4E" w14:textId="77777777" w:rsidR="00026392" w:rsidRDefault="00026392" w:rsidP="00026392">
            <w:pPr>
              <w:rPr>
                <w:rFonts w:ascii="Arial" w:hAnsi="Arial" w:cs="Arial"/>
                <w:b/>
                <w:bCs/>
                <w:color w:val="000000"/>
                <w:sz w:val="16"/>
                <w:szCs w:val="16"/>
              </w:rPr>
            </w:pPr>
            <w:r>
              <w:rPr>
                <w:rFonts w:ascii="Arial" w:hAnsi="Arial" w:cs="Arial"/>
                <w:b/>
                <w:bCs/>
                <w:color w:val="000000"/>
                <w:sz w:val="16"/>
                <w:szCs w:val="16"/>
              </w:rPr>
              <w:t>Total equity</w:t>
            </w:r>
          </w:p>
        </w:tc>
        <w:tc>
          <w:tcPr>
            <w:tcW w:w="1234" w:type="dxa"/>
            <w:tcBorders>
              <w:top w:val="nil"/>
              <w:left w:val="nil"/>
              <w:bottom w:val="double" w:sz="6" w:space="0" w:color="auto"/>
              <w:right w:val="nil"/>
            </w:tcBorders>
            <w:shd w:val="clear" w:color="auto" w:fill="auto"/>
            <w:vAlign w:val="center"/>
            <w:hideMark/>
          </w:tcPr>
          <w:p w14:paraId="5B742B6B" w14:textId="5D79A8CC" w:rsidR="00026392" w:rsidRDefault="00026392" w:rsidP="00026392">
            <w:pPr>
              <w:jc w:val="right"/>
              <w:rPr>
                <w:rFonts w:ascii="Arial" w:hAnsi="Arial" w:cs="Arial"/>
                <w:b/>
                <w:bCs/>
                <w:color w:val="000000"/>
                <w:sz w:val="16"/>
                <w:szCs w:val="16"/>
              </w:rPr>
            </w:pPr>
            <w:r>
              <w:rPr>
                <w:rFonts w:ascii="Arial" w:hAnsi="Arial" w:cs="Arial"/>
                <w:b/>
                <w:bCs/>
                <w:color w:val="000000"/>
                <w:sz w:val="16"/>
                <w:szCs w:val="16"/>
              </w:rPr>
              <w:t>15,988,322</w:t>
            </w:r>
          </w:p>
        </w:tc>
        <w:tc>
          <w:tcPr>
            <w:tcW w:w="1235" w:type="dxa"/>
            <w:tcBorders>
              <w:top w:val="nil"/>
              <w:left w:val="nil"/>
              <w:bottom w:val="double" w:sz="6" w:space="0" w:color="auto"/>
              <w:right w:val="nil"/>
            </w:tcBorders>
            <w:shd w:val="clear" w:color="auto" w:fill="auto"/>
            <w:vAlign w:val="center"/>
            <w:hideMark/>
          </w:tcPr>
          <w:p w14:paraId="12B29592" w14:textId="5E2CEF45" w:rsidR="00026392" w:rsidRDefault="00026392" w:rsidP="00026392">
            <w:pPr>
              <w:jc w:val="right"/>
              <w:rPr>
                <w:rFonts w:ascii="Arial" w:hAnsi="Arial" w:cs="Arial"/>
                <w:b/>
                <w:bCs/>
                <w:color w:val="000000"/>
                <w:sz w:val="16"/>
                <w:szCs w:val="16"/>
              </w:rPr>
            </w:pPr>
            <w:r>
              <w:rPr>
                <w:rFonts w:ascii="Arial" w:hAnsi="Arial" w:cs="Arial"/>
                <w:b/>
                <w:bCs/>
                <w:color w:val="000000"/>
                <w:sz w:val="16"/>
                <w:szCs w:val="16"/>
              </w:rPr>
              <w:t>9,743,002</w:t>
            </w:r>
          </w:p>
        </w:tc>
        <w:tc>
          <w:tcPr>
            <w:tcW w:w="1235" w:type="dxa"/>
            <w:tcBorders>
              <w:top w:val="nil"/>
              <w:left w:val="nil"/>
              <w:bottom w:val="double" w:sz="6" w:space="0" w:color="auto"/>
              <w:right w:val="nil"/>
            </w:tcBorders>
            <w:shd w:val="clear" w:color="auto" w:fill="auto"/>
            <w:vAlign w:val="center"/>
            <w:hideMark/>
          </w:tcPr>
          <w:p w14:paraId="6820B284" w14:textId="51E4138C" w:rsidR="00026392" w:rsidRDefault="00026392" w:rsidP="00026392">
            <w:pPr>
              <w:jc w:val="right"/>
              <w:rPr>
                <w:rFonts w:ascii="Arial" w:hAnsi="Arial" w:cs="Arial"/>
                <w:b/>
                <w:bCs/>
                <w:color w:val="000000"/>
                <w:sz w:val="16"/>
                <w:szCs w:val="16"/>
              </w:rPr>
            </w:pPr>
            <w:r>
              <w:rPr>
                <w:rFonts w:ascii="Arial" w:hAnsi="Arial" w:cs="Arial"/>
                <w:b/>
                <w:bCs/>
                <w:color w:val="000000"/>
                <w:sz w:val="16"/>
                <w:szCs w:val="16"/>
              </w:rPr>
              <w:t>6,056,124</w:t>
            </w:r>
          </w:p>
        </w:tc>
      </w:tr>
      <w:tr w:rsidR="00173D48" w14:paraId="2CD5FBF6" w14:textId="77777777" w:rsidTr="001A4C72">
        <w:trPr>
          <w:trHeight w:val="315"/>
        </w:trPr>
        <w:tc>
          <w:tcPr>
            <w:tcW w:w="4436" w:type="dxa"/>
            <w:tcBorders>
              <w:top w:val="nil"/>
              <w:left w:val="nil"/>
              <w:bottom w:val="nil"/>
              <w:right w:val="nil"/>
            </w:tcBorders>
            <w:shd w:val="clear" w:color="auto" w:fill="auto"/>
            <w:noWrap/>
            <w:vAlign w:val="center"/>
            <w:hideMark/>
          </w:tcPr>
          <w:p w14:paraId="0400F9E4" w14:textId="77777777" w:rsidR="00173D48" w:rsidRDefault="00173D48" w:rsidP="00173D48">
            <w:pPr>
              <w:jc w:val="right"/>
              <w:rPr>
                <w:rFonts w:ascii="Arial" w:hAnsi="Arial" w:cs="Arial"/>
                <w:b/>
                <w:bCs/>
                <w:color w:val="000000"/>
                <w:sz w:val="16"/>
                <w:szCs w:val="16"/>
              </w:rPr>
            </w:pPr>
          </w:p>
        </w:tc>
        <w:tc>
          <w:tcPr>
            <w:tcW w:w="1234" w:type="dxa"/>
            <w:tcBorders>
              <w:top w:val="nil"/>
              <w:left w:val="nil"/>
              <w:bottom w:val="nil"/>
              <w:right w:val="nil"/>
            </w:tcBorders>
            <w:shd w:val="clear" w:color="auto" w:fill="auto"/>
            <w:vAlign w:val="center"/>
            <w:hideMark/>
          </w:tcPr>
          <w:p w14:paraId="347F5F12" w14:textId="77777777" w:rsidR="00173D48" w:rsidRDefault="00173D48" w:rsidP="00173D48">
            <w:pPr>
              <w:rPr>
                <w:sz w:val="20"/>
                <w:szCs w:val="20"/>
              </w:rPr>
            </w:pPr>
          </w:p>
        </w:tc>
        <w:tc>
          <w:tcPr>
            <w:tcW w:w="1235" w:type="dxa"/>
            <w:tcBorders>
              <w:top w:val="nil"/>
              <w:left w:val="nil"/>
              <w:bottom w:val="nil"/>
              <w:right w:val="nil"/>
            </w:tcBorders>
            <w:shd w:val="clear" w:color="auto" w:fill="auto"/>
            <w:vAlign w:val="center"/>
            <w:hideMark/>
          </w:tcPr>
          <w:p w14:paraId="156EF4B5" w14:textId="77777777" w:rsidR="00173D48" w:rsidRDefault="00173D48" w:rsidP="00173D48">
            <w:pPr>
              <w:jc w:val="right"/>
              <w:rPr>
                <w:sz w:val="20"/>
                <w:szCs w:val="20"/>
              </w:rPr>
            </w:pPr>
          </w:p>
        </w:tc>
        <w:tc>
          <w:tcPr>
            <w:tcW w:w="1235" w:type="dxa"/>
            <w:tcBorders>
              <w:top w:val="nil"/>
              <w:left w:val="nil"/>
              <w:bottom w:val="nil"/>
              <w:right w:val="nil"/>
            </w:tcBorders>
            <w:shd w:val="clear" w:color="auto" w:fill="auto"/>
            <w:vAlign w:val="center"/>
            <w:hideMark/>
          </w:tcPr>
          <w:p w14:paraId="5CAE7BF3" w14:textId="77777777" w:rsidR="00173D48" w:rsidRDefault="00173D48" w:rsidP="00173D48">
            <w:pPr>
              <w:jc w:val="right"/>
              <w:rPr>
                <w:sz w:val="20"/>
                <w:szCs w:val="20"/>
              </w:rPr>
            </w:pPr>
          </w:p>
        </w:tc>
      </w:tr>
      <w:tr w:rsidR="00173D48" w14:paraId="397EE6BD" w14:textId="77777777" w:rsidTr="001A4C72">
        <w:trPr>
          <w:trHeight w:val="300"/>
        </w:trPr>
        <w:tc>
          <w:tcPr>
            <w:tcW w:w="4436" w:type="dxa"/>
            <w:tcBorders>
              <w:top w:val="nil"/>
              <w:left w:val="nil"/>
              <w:bottom w:val="nil"/>
              <w:right w:val="nil"/>
            </w:tcBorders>
            <w:shd w:val="clear" w:color="auto" w:fill="auto"/>
            <w:noWrap/>
            <w:vAlign w:val="center"/>
            <w:hideMark/>
          </w:tcPr>
          <w:p w14:paraId="282FC850" w14:textId="77777777" w:rsidR="00173D48" w:rsidRDefault="00173D48" w:rsidP="00173D48">
            <w:pPr>
              <w:rPr>
                <w:rFonts w:ascii="Arial" w:hAnsi="Arial" w:cs="Arial"/>
                <w:b/>
                <w:bCs/>
                <w:color w:val="000000"/>
                <w:sz w:val="16"/>
                <w:szCs w:val="16"/>
              </w:rPr>
            </w:pPr>
            <w:r>
              <w:rPr>
                <w:rFonts w:ascii="Arial" w:hAnsi="Arial" w:cs="Arial"/>
                <w:b/>
                <w:bCs/>
                <w:color w:val="000000"/>
                <w:sz w:val="16"/>
                <w:szCs w:val="16"/>
              </w:rPr>
              <w:t>CAPITAL</w:t>
            </w:r>
          </w:p>
        </w:tc>
        <w:tc>
          <w:tcPr>
            <w:tcW w:w="1234" w:type="dxa"/>
            <w:tcBorders>
              <w:top w:val="nil"/>
              <w:left w:val="nil"/>
              <w:bottom w:val="nil"/>
              <w:right w:val="nil"/>
            </w:tcBorders>
            <w:shd w:val="clear" w:color="auto" w:fill="auto"/>
            <w:vAlign w:val="center"/>
            <w:hideMark/>
          </w:tcPr>
          <w:p w14:paraId="4C246487" w14:textId="77777777" w:rsidR="00173D48" w:rsidRDefault="00173D48" w:rsidP="00173D48">
            <w:pPr>
              <w:rPr>
                <w:rFonts w:ascii="Arial" w:hAnsi="Arial" w:cs="Arial"/>
                <w:b/>
                <w:bCs/>
                <w:color w:val="000000"/>
                <w:sz w:val="16"/>
                <w:szCs w:val="16"/>
              </w:rPr>
            </w:pPr>
          </w:p>
        </w:tc>
        <w:tc>
          <w:tcPr>
            <w:tcW w:w="1235" w:type="dxa"/>
            <w:tcBorders>
              <w:top w:val="nil"/>
              <w:left w:val="nil"/>
              <w:bottom w:val="nil"/>
              <w:right w:val="nil"/>
            </w:tcBorders>
            <w:shd w:val="clear" w:color="auto" w:fill="auto"/>
            <w:vAlign w:val="center"/>
            <w:hideMark/>
          </w:tcPr>
          <w:p w14:paraId="2B31631D" w14:textId="77777777" w:rsidR="00173D48" w:rsidRDefault="00173D48" w:rsidP="00173D48">
            <w:pPr>
              <w:rPr>
                <w:sz w:val="20"/>
                <w:szCs w:val="20"/>
              </w:rPr>
            </w:pPr>
          </w:p>
        </w:tc>
        <w:tc>
          <w:tcPr>
            <w:tcW w:w="1235" w:type="dxa"/>
            <w:tcBorders>
              <w:top w:val="nil"/>
              <w:left w:val="nil"/>
              <w:bottom w:val="nil"/>
              <w:right w:val="nil"/>
            </w:tcBorders>
            <w:shd w:val="clear" w:color="auto" w:fill="auto"/>
            <w:vAlign w:val="center"/>
            <w:hideMark/>
          </w:tcPr>
          <w:p w14:paraId="20B421BC" w14:textId="77777777" w:rsidR="00173D48" w:rsidRDefault="00173D48" w:rsidP="00173D48">
            <w:pPr>
              <w:rPr>
                <w:sz w:val="20"/>
                <w:szCs w:val="20"/>
              </w:rPr>
            </w:pPr>
          </w:p>
        </w:tc>
      </w:tr>
      <w:tr w:rsidR="00D56790" w14:paraId="33A482DE" w14:textId="77777777" w:rsidTr="001A4C72">
        <w:trPr>
          <w:trHeight w:val="300"/>
        </w:trPr>
        <w:tc>
          <w:tcPr>
            <w:tcW w:w="4436" w:type="dxa"/>
            <w:tcBorders>
              <w:top w:val="nil"/>
              <w:left w:val="nil"/>
              <w:bottom w:val="nil"/>
              <w:right w:val="nil"/>
            </w:tcBorders>
            <w:shd w:val="clear" w:color="auto" w:fill="auto"/>
            <w:noWrap/>
            <w:vAlign w:val="center"/>
            <w:hideMark/>
          </w:tcPr>
          <w:p w14:paraId="5466B866" w14:textId="77777777" w:rsidR="00D56790" w:rsidRDefault="00D56790" w:rsidP="00D56790">
            <w:pPr>
              <w:rPr>
                <w:rFonts w:ascii="Arial" w:hAnsi="Arial" w:cs="Arial"/>
                <w:color w:val="000000"/>
                <w:sz w:val="16"/>
                <w:szCs w:val="16"/>
              </w:rPr>
            </w:pPr>
            <w:r>
              <w:rPr>
                <w:rFonts w:ascii="Arial" w:hAnsi="Arial" w:cs="Arial"/>
                <w:color w:val="000000"/>
                <w:sz w:val="16"/>
                <w:szCs w:val="16"/>
              </w:rPr>
              <w:t>less deferred tax asset and intangible assets</w:t>
            </w:r>
          </w:p>
        </w:tc>
        <w:tc>
          <w:tcPr>
            <w:tcW w:w="1234" w:type="dxa"/>
            <w:tcBorders>
              <w:top w:val="nil"/>
              <w:left w:val="nil"/>
              <w:bottom w:val="nil"/>
              <w:right w:val="nil"/>
            </w:tcBorders>
            <w:shd w:val="clear" w:color="auto" w:fill="auto"/>
            <w:vAlign w:val="center"/>
            <w:hideMark/>
          </w:tcPr>
          <w:p w14:paraId="03BD15CC" w14:textId="7AB8F7A5" w:rsidR="00D56790" w:rsidRDefault="00D56790" w:rsidP="00D56790">
            <w:pPr>
              <w:jc w:val="right"/>
              <w:rPr>
                <w:rFonts w:ascii="Arial" w:hAnsi="Arial" w:cs="Arial"/>
                <w:color w:val="000000"/>
                <w:sz w:val="16"/>
                <w:szCs w:val="16"/>
              </w:rPr>
            </w:pPr>
            <w:r>
              <w:rPr>
                <w:rFonts w:ascii="Arial" w:hAnsi="Arial" w:cs="Arial"/>
                <w:color w:val="000000"/>
                <w:sz w:val="16"/>
                <w:szCs w:val="16"/>
              </w:rPr>
              <w:t>-245,922</w:t>
            </w:r>
          </w:p>
        </w:tc>
        <w:tc>
          <w:tcPr>
            <w:tcW w:w="1235" w:type="dxa"/>
            <w:tcBorders>
              <w:top w:val="nil"/>
              <w:left w:val="nil"/>
              <w:bottom w:val="nil"/>
              <w:right w:val="nil"/>
            </w:tcBorders>
            <w:shd w:val="clear" w:color="auto" w:fill="auto"/>
            <w:vAlign w:val="center"/>
            <w:hideMark/>
          </w:tcPr>
          <w:p w14:paraId="07F9E670" w14:textId="0C6A983A" w:rsidR="00D56790" w:rsidRDefault="00D56790" w:rsidP="00D56790">
            <w:pPr>
              <w:jc w:val="right"/>
              <w:rPr>
                <w:rFonts w:ascii="Arial" w:hAnsi="Arial" w:cs="Arial"/>
                <w:color w:val="000000"/>
                <w:sz w:val="16"/>
                <w:szCs w:val="16"/>
              </w:rPr>
            </w:pPr>
            <w:r>
              <w:rPr>
                <w:rFonts w:ascii="Arial" w:hAnsi="Arial" w:cs="Arial"/>
                <w:color w:val="000000"/>
                <w:sz w:val="16"/>
                <w:szCs w:val="16"/>
              </w:rPr>
              <w:t>-89,068</w:t>
            </w:r>
          </w:p>
        </w:tc>
        <w:tc>
          <w:tcPr>
            <w:tcW w:w="1235" w:type="dxa"/>
            <w:tcBorders>
              <w:top w:val="nil"/>
              <w:left w:val="nil"/>
              <w:bottom w:val="nil"/>
              <w:right w:val="nil"/>
            </w:tcBorders>
            <w:shd w:val="clear" w:color="auto" w:fill="auto"/>
            <w:vAlign w:val="center"/>
            <w:hideMark/>
          </w:tcPr>
          <w:p w14:paraId="190A1A6D" w14:textId="7BC1D4D5" w:rsidR="00D56790" w:rsidRDefault="00D56790" w:rsidP="00D56790">
            <w:pPr>
              <w:jc w:val="right"/>
              <w:rPr>
                <w:rFonts w:ascii="Arial" w:hAnsi="Arial" w:cs="Arial"/>
                <w:color w:val="000000"/>
                <w:sz w:val="16"/>
                <w:szCs w:val="16"/>
              </w:rPr>
            </w:pPr>
            <w:r>
              <w:rPr>
                <w:rFonts w:ascii="Arial" w:hAnsi="Arial" w:cs="Arial"/>
                <w:color w:val="000000"/>
                <w:sz w:val="16"/>
                <w:szCs w:val="16"/>
              </w:rPr>
              <w:t>-63,808</w:t>
            </w:r>
          </w:p>
        </w:tc>
      </w:tr>
      <w:tr w:rsidR="00D56790" w14:paraId="5A7907DD" w14:textId="77777777" w:rsidTr="001A4C72">
        <w:trPr>
          <w:trHeight w:val="315"/>
        </w:trPr>
        <w:tc>
          <w:tcPr>
            <w:tcW w:w="4436" w:type="dxa"/>
            <w:tcBorders>
              <w:top w:val="nil"/>
              <w:left w:val="nil"/>
              <w:bottom w:val="nil"/>
              <w:right w:val="nil"/>
            </w:tcBorders>
            <w:shd w:val="clear" w:color="auto" w:fill="auto"/>
            <w:noWrap/>
            <w:vAlign w:val="center"/>
            <w:hideMark/>
          </w:tcPr>
          <w:p w14:paraId="493D4C20" w14:textId="77777777" w:rsidR="00D56790" w:rsidRDefault="00D56790" w:rsidP="00D56790">
            <w:pPr>
              <w:rPr>
                <w:rFonts w:ascii="Arial" w:hAnsi="Arial" w:cs="Arial"/>
                <w:color w:val="000000"/>
                <w:sz w:val="16"/>
                <w:szCs w:val="16"/>
              </w:rPr>
            </w:pPr>
            <w:r>
              <w:rPr>
                <w:rFonts w:ascii="Arial" w:hAnsi="Arial" w:cs="Arial"/>
                <w:color w:val="000000"/>
                <w:sz w:val="16"/>
                <w:szCs w:val="16"/>
              </w:rPr>
              <w:t>Capital (per 2010 Regulations)</w:t>
            </w:r>
          </w:p>
        </w:tc>
        <w:tc>
          <w:tcPr>
            <w:tcW w:w="1234" w:type="dxa"/>
            <w:tcBorders>
              <w:top w:val="nil"/>
              <w:left w:val="nil"/>
              <w:bottom w:val="double" w:sz="6" w:space="0" w:color="auto"/>
              <w:right w:val="nil"/>
            </w:tcBorders>
            <w:shd w:val="clear" w:color="auto" w:fill="auto"/>
            <w:vAlign w:val="center"/>
            <w:hideMark/>
          </w:tcPr>
          <w:p w14:paraId="4F9E3A6C" w14:textId="44B2B5B5" w:rsidR="00D56790" w:rsidRDefault="00D56790" w:rsidP="00D56790">
            <w:pPr>
              <w:jc w:val="right"/>
              <w:rPr>
                <w:rFonts w:ascii="Arial" w:hAnsi="Arial" w:cs="Arial"/>
                <w:color w:val="000000"/>
                <w:sz w:val="16"/>
                <w:szCs w:val="16"/>
              </w:rPr>
            </w:pPr>
            <w:r>
              <w:rPr>
                <w:rFonts w:ascii="Arial" w:hAnsi="Arial" w:cs="Arial"/>
                <w:color w:val="000000"/>
                <w:sz w:val="16"/>
                <w:szCs w:val="16"/>
              </w:rPr>
              <w:t>15,742,400</w:t>
            </w:r>
          </w:p>
        </w:tc>
        <w:tc>
          <w:tcPr>
            <w:tcW w:w="1235" w:type="dxa"/>
            <w:tcBorders>
              <w:top w:val="nil"/>
              <w:left w:val="nil"/>
              <w:bottom w:val="double" w:sz="6" w:space="0" w:color="auto"/>
              <w:right w:val="nil"/>
            </w:tcBorders>
            <w:shd w:val="clear" w:color="auto" w:fill="auto"/>
            <w:vAlign w:val="center"/>
            <w:hideMark/>
          </w:tcPr>
          <w:p w14:paraId="04341010" w14:textId="1803E21E" w:rsidR="00D56790" w:rsidRDefault="00D56790" w:rsidP="00D56790">
            <w:pPr>
              <w:jc w:val="right"/>
              <w:rPr>
                <w:rFonts w:ascii="Arial" w:hAnsi="Arial" w:cs="Arial"/>
                <w:color w:val="000000"/>
                <w:sz w:val="16"/>
                <w:szCs w:val="16"/>
              </w:rPr>
            </w:pPr>
            <w:r>
              <w:rPr>
                <w:rFonts w:ascii="Arial" w:hAnsi="Arial" w:cs="Arial"/>
                <w:color w:val="000000"/>
                <w:sz w:val="16"/>
                <w:szCs w:val="16"/>
              </w:rPr>
              <w:t>9,653,934</w:t>
            </w:r>
          </w:p>
        </w:tc>
        <w:tc>
          <w:tcPr>
            <w:tcW w:w="1235" w:type="dxa"/>
            <w:tcBorders>
              <w:top w:val="nil"/>
              <w:left w:val="nil"/>
              <w:bottom w:val="double" w:sz="6" w:space="0" w:color="auto"/>
              <w:right w:val="nil"/>
            </w:tcBorders>
            <w:shd w:val="clear" w:color="auto" w:fill="auto"/>
            <w:vAlign w:val="center"/>
            <w:hideMark/>
          </w:tcPr>
          <w:p w14:paraId="5C58EC95" w14:textId="5630DF16" w:rsidR="00D56790" w:rsidRDefault="00D56790" w:rsidP="00D56790">
            <w:pPr>
              <w:jc w:val="right"/>
              <w:rPr>
                <w:rFonts w:ascii="Arial" w:hAnsi="Arial" w:cs="Arial"/>
                <w:color w:val="000000"/>
                <w:sz w:val="16"/>
                <w:szCs w:val="16"/>
              </w:rPr>
            </w:pPr>
            <w:r>
              <w:rPr>
                <w:rFonts w:ascii="Arial" w:hAnsi="Arial" w:cs="Arial"/>
                <w:color w:val="000000"/>
                <w:sz w:val="16"/>
                <w:szCs w:val="16"/>
              </w:rPr>
              <w:t>5,992,316</w:t>
            </w:r>
          </w:p>
        </w:tc>
      </w:tr>
      <w:tr w:rsidR="00173D48" w14:paraId="4113D724" w14:textId="77777777" w:rsidTr="001A4C72">
        <w:trPr>
          <w:trHeight w:val="315"/>
        </w:trPr>
        <w:tc>
          <w:tcPr>
            <w:tcW w:w="4436" w:type="dxa"/>
            <w:tcBorders>
              <w:top w:val="nil"/>
              <w:left w:val="nil"/>
              <w:bottom w:val="nil"/>
              <w:right w:val="nil"/>
            </w:tcBorders>
            <w:shd w:val="clear" w:color="auto" w:fill="auto"/>
            <w:noWrap/>
            <w:vAlign w:val="center"/>
            <w:hideMark/>
          </w:tcPr>
          <w:p w14:paraId="702F8D29" w14:textId="77777777" w:rsidR="00173D48" w:rsidRDefault="00173D48" w:rsidP="00173D48">
            <w:pPr>
              <w:jc w:val="right"/>
              <w:rPr>
                <w:rFonts w:ascii="Arial" w:hAnsi="Arial" w:cs="Arial"/>
                <w:color w:val="000000"/>
                <w:sz w:val="16"/>
                <w:szCs w:val="16"/>
              </w:rPr>
            </w:pPr>
          </w:p>
        </w:tc>
        <w:tc>
          <w:tcPr>
            <w:tcW w:w="1234" w:type="dxa"/>
            <w:tcBorders>
              <w:top w:val="nil"/>
              <w:left w:val="nil"/>
              <w:bottom w:val="nil"/>
              <w:right w:val="nil"/>
            </w:tcBorders>
            <w:shd w:val="clear" w:color="auto" w:fill="auto"/>
            <w:vAlign w:val="center"/>
            <w:hideMark/>
          </w:tcPr>
          <w:p w14:paraId="6B4762F7" w14:textId="77777777" w:rsidR="00173D48" w:rsidRDefault="00173D48" w:rsidP="00173D48">
            <w:pPr>
              <w:rPr>
                <w:sz w:val="20"/>
                <w:szCs w:val="20"/>
              </w:rPr>
            </w:pPr>
          </w:p>
        </w:tc>
        <w:tc>
          <w:tcPr>
            <w:tcW w:w="1235" w:type="dxa"/>
            <w:tcBorders>
              <w:top w:val="nil"/>
              <w:left w:val="nil"/>
              <w:bottom w:val="nil"/>
              <w:right w:val="nil"/>
            </w:tcBorders>
            <w:shd w:val="clear" w:color="auto" w:fill="auto"/>
            <w:vAlign w:val="center"/>
            <w:hideMark/>
          </w:tcPr>
          <w:p w14:paraId="2CAC8E59" w14:textId="77777777" w:rsidR="00173D48" w:rsidRDefault="00173D48" w:rsidP="00173D48">
            <w:pPr>
              <w:rPr>
                <w:sz w:val="20"/>
                <w:szCs w:val="20"/>
              </w:rPr>
            </w:pPr>
          </w:p>
        </w:tc>
        <w:tc>
          <w:tcPr>
            <w:tcW w:w="1235" w:type="dxa"/>
            <w:tcBorders>
              <w:top w:val="nil"/>
              <w:left w:val="nil"/>
              <w:bottom w:val="nil"/>
              <w:right w:val="nil"/>
            </w:tcBorders>
            <w:shd w:val="clear" w:color="auto" w:fill="auto"/>
            <w:vAlign w:val="center"/>
            <w:hideMark/>
          </w:tcPr>
          <w:p w14:paraId="72DDC678" w14:textId="77777777" w:rsidR="00173D48" w:rsidRDefault="00173D48" w:rsidP="00173D48">
            <w:pPr>
              <w:rPr>
                <w:sz w:val="20"/>
                <w:szCs w:val="20"/>
              </w:rPr>
            </w:pPr>
          </w:p>
        </w:tc>
      </w:tr>
      <w:tr w:rsidR="00173D48" w14:paraId="12EFD1E7" w14:textId="77777777" w:rsidTr="001A4C72">
        <w:trPr>
          <w:trHeight w:val="300"/>
        </w:trPr>
        <w:tc>
          <w:tcPr>
            <w:tcW w:w="4436" w:type="dxa"/>
            <w:tcBorders>
              <w:top w:val="nil"/>
              <w:left w:val="nil"/>
              <w:bottom w:val="nil"/>
              <w:right w:val="nil"/>
            </w:tcBorders>
            <w:shd w:val="clear" w:color="auto" w:fill="auto"/>
            <w:noWrap/>
            <w:vAlign w:val="center"/>
            <w:hideMark/>
          </w:tcPr>
          <w:p w14:paraId="31314922" w14:textId="77777777" w:rsidR="00173D48" w:rsidRDefault="00173D48" w:rsidP="00173D48">
            <w:pPr>
              <w:rPr>
                <w:rFonts w:ascii="Arial" w:hAnsi="Arial" w:cs="Arial"/>
                <w:b/>
                <w:bCs/>
                <w:color w:val="000000"/>
                <w:sz w:val="16"/>
                <w:szCs w:val="16"/>
              </w:rPr>
            </w:pPr>
            <w:r>
              <w:rPr>
                <w:rFonts w:ascii="Arial" w:hAnsi="Arial" w:cs="Arial"/>
                <w:b/>
                <w:bCs/>
                <w:color w:val="000000"/>
                <w:sz w:val="16"/>
                <w:szCs w:val="16"/>
              </w:rPr>
              <w:t>STATEMENT OF CASH FLOWS (EXTRACT)</w:t>
            </w:r>
          </w:p>
        </w:tc>
        <w:tc>
          <w:tcPr>
            <w:tcW w:w="1234" w:type="dxa"/>
            <w:tcBorders>
              <w:top w:val="nil"/>
              <w:left w:val="nil"/>
              <w:bottom w:val="nil"/>
              <w:right w:val="nil"/>
            </w:tcBorders>
            <w:shd w:val="clear" w:color="auto" w:fill="auto"/>
            <w:vAlign w:val="center"/>
            <w:hideMark/>
          </w:tcPr>
          <w:p w14:paraId="4ACF7B03" w14:textId="77777777" w:rsidR="00173D48" w:rsidRDefault="00173D48" w:rsidP="00173D48">
            <w:pPr>
              <w:rPr>
                <w:rFonts w:ascii="Arial" w:hAnsi="Arial" w:cs="Arial"/>
                <w:b/>
                <w:bCs/>
                <w:color w:val="000000"/>
                <w:sz w:val="16"/>
                <w:szCs w:val="16"/>
              </w:rPr>
            </w:pPr>
          </w:p>
        </w:tc>
        <w:tc>
          <w:tcPr>
            <w:tcW w:w="1235" w:type="dxa"/>
            <w:tcBorders>
              <w:top w:val="nil"/>
              <w:left w:val="nil"/>
              <w:bottom w:val="nil"/>
              <w:right w:val="nil"/>
            </w:tcBorders>
            <w:shd w:val="clear" w:color="auto" w:fill="auto"/>
            <w:vAlign w:val="center"/>
            <w:hideMark/>
          </w:tcPr>
          <w:p w14:paraId="14AEFDE1" w14:textId="77777777" w:rsidR="00173D48" w:rsidRDefault="00173D48" w:rsidP="00173D48">
            <w:pPr>
              <w:rPr>
                <w:sz w:val="20"/>
                <w:szCs w:val="20"/>
              </w:rPr>
            </w:pPr>
          </w:p>
        </w:tc>
        <w:tc>
          <w:tcPr>
            <w:tcW w:w="1235" w:type="dxa"/>
            <w:tcBorders>
              <w:top w:val="nil"/>
              <w:left w:val="nil"/>
              <w:bottom w:val="nil"/>
              <w:right w:val="nil"/>
            </w:tcBorders>
            <w:shd w:val="clear" w:color="auto" w:fill="auto"/>
            <w:vAlign w:val="center"/>
            <w:hideMark/>
          </w:tcPr>
          <w:p w14:paraId="184E67C6" w14:textId="77777777" w:rsidR="00173D48" w:rsidRDefault="00173D48" w:rsidP="00173D48">
            <w:pPr>
              <w:rPr>
                <w:sz w:val="20"/>
                <w:szCs w:val="20"/>
              </w:rPr>
            </w:pPr>
          </w:p>
        </w:tc>
      </w:tr>
      <w:tr w:rsidR="0019147B" w14:paraId="40A0D9EE" w14:textId="77777777" w:rsidTr="001A4C72">
        <w:trPr>
          <w:trHeight w:val="300"/>
        </w:trPr>
        <w:tc>
          <w:tcPr>
            <w:tcW w:w="4436" w:type="dxa"/>
            <w:tcBorders>
              <w:top w:val="nil"/>
              <w:left w:val="nil"/>
              <w:bottom w:val="nil"/>
              <w:right w:val="nil"/>
            </w:tcBorders>
            <w:shd w:val="clear" w:color="auto" w:fill="auto"/>
            <w:noWrap/>
            <w:vAlign w:val="center"/>
            <w:hideMark/>
          </w:tcPr>
          <w:p w14:paraId="15543C86" w14:textId="77777777" w:rsidR="0019147B" w:rsidRDefault="0019147B" w:rsidP="0019147B">
            <w:pPr>
              <w:rPr>
                <w:rFonts w:ascii="Arial" w:hAnsi="Arial" w:cs="Arial"/>
                <w:color w:val="000000"/>
                <w:sz w:val="16"/>
                <w:szCs w:val="16"/>
              </w:rPr>
            </w:pPr>
            <w:r>
              <w:rPr>
                <w:rFonts w:ascii="Arial" w:hAnsi="Arial" w:cs="Arial"/>
                <w:color w:val="000000"/>
                <w:sz w:val="16"/>
                <w:szCs w:val="16"/>
              </w:rPr>
              <w:t>Net Cash Flows from Operating Activities</w:t>
            </w:r>
          </w:p>
        </w:tc>
        <w:tc>
          <w:tcPr>
            <w:tcW w:w="1234" w:type="dxa"/>
            <w:tcBorders>
              <w:top w:val="nil"/>
              <w:left w:val="nil"/>
              <w:bottom w:val="nil"/>
              <w:right w:val="nil"/>
            </w:tcBorders>
            <w:shd w:val="clear" w:color="auto" w:fill="auto"/>
            <w:vAlign w:val="center"/>
            <w:hideMark/>
          </w:tcPr>
          <w:p w14:paraId="5BA29D98" w14:textId="1FF4AFFC" w:rsidR="0019147B" w:rsidRDefault="0019147B" w:rsidP="0019147B">
            <w:pPr>
              <w:jc w:val="right"/>
              <w:rPr>
                <w:rFonts w:ascii="Arial" w:hAnsi="Arial" w:cs="Arial"/>
                <w:color w:val="000000"/>
                <w:sz w:val="16"/>
                <w:szCs w:val="16"/>
              </w:rPr>
            </w:pPr>
            <w:r>
              <w:rPr>
                <w:rFonts w:ascii="Arial" w:hAnsi="Arial" w:cs="Arial"/>
                <w:color w:val="000000"/>
                <w:sz w:val="16"/>
                <w:szCs w:val="16"/>
              </w:rPr>
              <w:t>-3,360,464</w:t>
            </w:r>
          </w:p>
        </w:tc>
        <w:tc>
          <w:tcPr>
            <w:tcW w:w="1235" w:type="dxa"/>
            <w:tcBorders>
              <w:top w:val="nil"/>
              <w:left w:val="nil"/>
              <w:bottom w:val="nil"/>
              <w:right w:val="nil"/>
            </w:tcBorders>
            <w:shd w:val="clear" w:color="auto" w:fill="auto"/>
            <w:vAlign w:val="center"/>
            <w:hideMark/>
          </w:tcPr>
          <w:p w14:paraId="0884C3E9" w14:textId="17428D47" w:rsidR="0019147B" w:rsidRDefault="0019147B" w:rsidP="0019147B">
            <w:pPr>
              <w:jc w:val="right"/>
              <w:rPr>
                <w:rFonts w:ascii="Arial" w:hAnsi="Arial" w:cs="Arial"/>
                <w:color w:val="000000"/>
                <w:sz w:val="16"/>
                <w:szCs w:val="16"/>
              </w:rPr>
            </w:pPr>
            <w:r>
              <w:rPr>
                <w:rFonts w:ascii="Arial" w:hAnsi="Arial" w:cs="Arial"/>
                <w:color w:val="000000"/>
                <w:sz w:val="16"/>
                <w:szCs w:val="16"/>
              </w:rPr>
              <w:t>6,346,765</w:t>
            </w:r>
          </w:p>
        </w:tc>
        <w:tc>
          <w:tcPr>
            <w:tcW w:w="1235" w:type="dxa"/>
            <w:tcBorders>
              <w:top w:val="nil"/>
              <w:left w:val="nil"/>
              <w:bottom w:val="nil"/>
              <w:right w:val="nil"/>
            </w:tcBorders>
            <w:shd w:val="clear" w:color="auto" w:fill="auto"/>
            <w:vAlign w:val="center"/>
            <w:hideMark/>
          </w:tcPr>
          <w:p w14:paraId="685C8680" w14:textId="0575EEF8" w:rsidR="0019147B" w:rsidRDefault="0019147B" w:rsidP="0019147B">
            <w:pPr>
              <w:jc w:val="right"/>
              <w:rPr>
                <w:rFonts w:ascii="Arial" w:hAnsi="Arial" w:cs="Arial"/>
                <w:color w:val="000000"/>
                <w:sz w:val="16"/>
                <w:szCs w:val="16"/>
              </w:rPr>
            </w:pPr>
            <w:r>
              <w:rPr>
                <w:rFonts w:ascii="Arial" w:hAnsi="Arial" w:cs="Arial"/>
                <w:color w:val="000000"/>
                <w:sz w:val="16"/>
                <w:szCs w:val="16"/>
              </w:rPr>
              <w:t>-1,839,885</w:t>
            </w:r>
          </w:p>
        </w:tc>
      </w:tr>
      <w:tr w:rsidR="0019147B" w14:paraId="13ECCC1C" w14:textId="77777777" w:rsidTr="001A4C72">
        <w:trPr>
          <w:trHeight w:val="300"/>
        </w:trPr>
        <w:tc>
          <w:tcPr>
            <w:tcW w:w="4436" w:type="dxa"/>
            <w:tcBorders>
              <w:top w:val="nil"/>
              <w:left w:val="nil"/>
              <w:bottom w:val="nil"/>
              <w:right w:val="nil"/>
            </w:tcBorders>
            <w:shd w:val="clear" w:color="auto" w:fill="auto"/>
            <w:noWrap/>
            <w:vAlign w:val="center"/>
            <w:hideMark/>
          </w:tcPr>
          <w:p w14:paraId="75D55BD8" w14:textId="77777777" w:rsidR="0019147B" w:rsidRDefault="0019147B" w:rsidP="0019147B">
            <w:pPr>
              <w:rPr>
                <w:rFonts w:ascii="Arial" w:hAnsi="Arial" w:cs="Arial"/>
                <w:color w:val="000000"/>
                <w:sz w:val="16"/>
                <w:szCs w:val="16"/>
              </w:rPr>
            </w:pPr>
            <w:r>
              <w:rPr>
                <w:rFonts w:ascii="Arial" w:hAnsi="Arial" w:cs="Arial"/>
                <w:color w:val="000000"/>
                <w:sz w:val="16"/>
                <w:szCs w:val="16"/>
              </w:rPr>
              <w:t>Net Cash Flows from Investing Activities</w:t>
            </w:r>
          </w:p>
        </w:tc>
        <w:tc>
          <w:tcPr>
            <w:tcW w:w="1234" w:type="dxa"/>
            <w:tcBorders>
              <w:top w:val="nil"/>
              <w:left w:val="nil"/>
              <w:bottom w:val="nil"/>
              <w:right w:val="nil"/>
            </w:tcBorders>
            <w:shd w:val="clear" w:color="auto" w:fill="auto"/>
            <w:vAlign w:val="center"/>
            <w:hideMark/>
          </w:tcPr>
          <w:p w14:paraId="15316C40" w14:textId="4C53E0B0" w:rsidR="0019147B" w:rsidRDefault="0019147B" w:rsidP="0019147B">
            <w:pPr>
              <w:jc w:val="right"/>
              <w:rPr>
                <w:rFonts w:ascii="Arial" w:hAnsi="Arial" w:cs="Arial"/>
                <w:color w:val="000000"/>
                <w:sz w:val="16"/>
                <w:szCs w:val="16"/>
              </w:rPr>
            </w:pPr>
            <w:r>
              <w:rPr>
                <w:rFonts w:ascii="Arial" w:hAnsi="Arial" w:cs="Arial"/>
                <w:color w:val="000000"/>
                <w:sz w:val="16"/>
                <w:szCs w:val="16"/>
              </w:rPr>
              <w:t>-6,476,044</w:t>
            </w:r>
          </w:p>
        </w:tc>
        <w:tc>
          <w:tcPr>
            <w:tcW w:w="1235" w:type="dxa"/>
            <w:tcBorders>
              <w:top w:val="nil"/>
              <w:left w:val="nil"/>
              <w:bottom w:val="nil"/>
              <w:right w:val="nil"/>
            </w:tcBorders>
            <w:shd w:val="clear" w:color="auto" w:fill="auto"/>
            <w:vAlign w:val="center"/>
            <w:hideMark/>
          </w:tcPr>
          <w:p w14:paraId="2412939E" w14:textId="510B0650" w:rsidR="0019147B" w:rsidRDefault="0019147B" w:rsidP="0019147B">
            <w:pPr>
              <w:jc w:val="right"/>
              <w:rPr>
                <w:rFonts w:ascii="Arial" w:hAnsi="Arial" w:cs="Arial"/>
                <w:color w:val="000000"/>
                <w:sz w:val="16"/>
                <w:szCs w:val="16"/>
              </w:rPr>
            </w:pPr>
            <w:r>
              <w:rPr>
                <w:rFonts w:ascii="Arial" w:hAnsi="Arial" w:cs="Arial"/>
                <w:color w:val="000000"/>
                <w:sz w:val="16"/>
                <w:szCs w:val="16"/>
              </w:rPr>
              <w:t>744,018</w:t>
            </w:r>
          </w:p>
        </w:tc>
        <w:tc>
          <w:tcPr>
            <w:tcW w:w="1235" w:type="dxa"/>
            <w:tcBorders>
              <w:top w:val="nil"/>
              <w:left w:val="nil"/>
              <w:bottom w:val="nil"/>
              <w:right w:val="nil"/>
            </w:tcBorders>
            <w:shd w:val="clear" w:color="auto" w:fill="auto"/>
            <w:vAlign w:val="center"/>
            <w:hideMark/>
          </w:tcPr>
          <w:p w14:paraId="77B5C8FF" w14:textId="6156EBDD" w:rsidR="0019147B" w:rsidRDefault="0019147B" w:rsidP="0019147B">
            <w:pPr>
              <w:jc w:val="right"/>
              <w:rPr>
                <w:rFonts w:ascii="Arial" w:hAnsi="Arial" w:cs="Arial"/>
                <w:color w:val="000000"/>
                <w:sz w:val="16"/>
                <w:szCs w:val="16"/>
              </w:rPr>
            </w:pPr>
            <w:r>
              <w:rPr>
                <w:rFonts w:ascii="Arial" w:hAnsi="Arial" w:cs="Arial"/>
                <w:color w:val="000000"/>
                <w:sz w:val="16"/>
                <w:szCs w:val="16"/>
              </w:rPr>
              <w:t>-3,384,103</w:t>
            </w:r>
          </w:p>
        </w:tc>
      </w:tr>
      <w:tr w:rsidR="0019147B" w14:paraId="2331A6CF" w14:textId="77777777" w:rsidTr="001A4C72">
        <w:trPr>
          <w:trHeight w:val="300"/>
        </w:trPr>
        <w:tc>
          <w:tcPr>
            <w:tcW w:w="4436" w:type="dxa"/>
            <w:tcBorders>
              <w:top w:val="nil"/>
              <w:left w:val="nil"/>
              <w:bottom w:val="nil"/>
              <w:right w:val="nil"/>
            </w:tcBorders>
            <w:shd w:val="clear" w:color="auto" w:fill="auto"/>
            <w:noWrap/>
            <w:vAlign w:val="center"/>
            <w:hideMark/>
          </w:tcPr>
          <w:p w14:paraId="7E5F102E" w14:textId="77777777" w:rsidR="0019147B" w:rsidRDefault="0019147B" w:rsidP="0019147B">
            <w:pPr>
              <w:rPr>
                <w:rFonts w:ascii="Arial" w:hAnsi="Arial" w:cs="Arial"/>
                <w:color w:val="000000"/>
                <w:sz w:val="16"/>
                <w:szCs w:val="16"/>
              </w:rPr>
            </w:pPr>
            <w:r>
              <w:rPr>
                <w:rFonts w:ascii="Arial" w:hAnsi="Arial" w:cs="Arial"/>
                <w:color w:val="000000"/>
                <w:sz w:val="16"/>
                <w:szCs w:val="16"/>
              </w:rPr>
              <w:t>Net Cash Flows from Financing Activities</w:t>
            </w:r>
          </w:p>
        </w:tc>
        <w:tc>
          <w:tcPr>
            <w:tcW w:w="1234" w:type="dxa"/>
            <w:tcBorders>
              <w:top w:val="nil"/>
              <w:left w:val="nil"/>
              <w:bottom w:val="nil"/>
              <w:right w:val="nil"/>
            </w:tcBorders>
            <w:shd w:val="clear" w:color="auto" w:fill="auto"/>
            <w:vAlign w:val="center"/>
            <w:hideMark/>
          </w:tcPr>
          <w:p w14:paraId="1FFCB5E4" w14:textId="48069757" w:rsidR="0019147B" w:rsidRDefault="0019147B" w:rsidP="0019147B">
            <w:pPr>
              <w:jc w:val="right"/>
              <w:rPr>
                <w:rFonts w:ascii="Arial" w:hAnsi="Arial" w:cs="Arial"/>
                <w:color w:val="000000"/>
                <w:sz w:val="16"/>
                <w:szCs w:val="16"/>
              </w:rPr>
            </w:pPr>
            <w:r>
              <w:rPr>
                <w:rFonts w:ascii="Arial" w:hAnsi="Arial" w:cs="Arial"/>
                <w:color w:val="000000"/>
                <w:sz w:val="16"/>
                <w:szCs w:val="16"/>
              </w:rPr>
              <w:t>2,885,399</w:t>
            </w:r>
          </w:p>
        </w:tc>
        <w:tc>
          <w:tcPr>
            <w:tcW w:w="1235" w:type="dxa"/>
            <w:tcBorders>
              <w:top w:val="nil"/>
              <w:left w:val="nil"/>
              <w:bottom w:val="nil"/>
              <w:right w:val="nil"/>
            </w:tcBorders>
            <w:shd w:val="clear" w:color="auto" w:fill="auto"/>
            <w:vAlign w:val="center"/>
            <w:hideMark/>
          </w:tcPr>
          <w:p w14:paraId="3CDAA500" w14:textId="4048BF23" w:rsidR="0019147B" w:rsidRDefault="0019147B" w:rsidP="0019147B">
            <w:pPr>
              <w:jc w:val="right"/>
              <w:rPr>
                <w:rFonts w:ascii="Arial" w:hAnsi="Arial" w:cs="Arial"/>
                <w:color w:val="000000"/>
                <w:sz w:val="16"/>
                <w:szCs w:val="16"/>
              </w:rPr>
            </w:pPr>
            <w:r>
              <w:rPr>
                <w:rFonts w:ascii="Arial" w:hAnsi="Arial" w:cs="Arial"/>
                <w:color w:val="000000"/>
                <w:sz w:val="16"/>
                <w:szCs w:val="16"/>
              </w:rPr>
              <w:t>2,055,995</w:t>
            </w:r>
          </w:p>
        </w:tc>
        <w:tc>
          <w:tcPr>
            <w:tcW w:w="1235" w:type="dxa"/>
            <w:tcBorders>
              <w:top w:val="nil"/>
              <w:left w:val="nil"/>
              <w:bottom w:val="nil"/>
              <w:right w:val="nil"/>
            </w:tcBorders>
            <w:shd w:val="clear" w:color="auto" w:fill="auto"/>
            <w:vAlign w:val="center"/>
            <w:hideMark/>
          </w:tcPr>
          <w:p w14:paraId="2AF8BB2E" w14:textId="4C9168D9" w:rsidR="0019147B" w:rsidRDefault="0019147B" w:rsidP="0019147B">
            <w:pPr>
              <w:jc w:val="right"/>
              <w:rPr>
                <w:rFonts w:ascii="Arial" w:hAnsi="Arial" w:cs="Arial"/>
                <w:color w:val="000000"/>
                <w:sz w:val="16"/>
                <w:szCs w:val="16"/>
              </w:rPr>
            </w:pPr>
            <w:r>
              <w:rPr>
                <w:rFonts w:ascii="Arial" w:hAnsi="Arial" w:cs="Arial"/>
                <w:color w:val="000000"/>
                <w:sz w:val="16"/>
                <w:szCs w:val="16"/>
              </w:rPr>
              <w:t>0</w:t>
            </w:r>
          </w:p>
        </w:tc>
      </w:tr>
      <w:tr w:rsidR="0019147B" w14:paraId="3CAFA6F6" w14:textId="77777777" w:rsidTr="001A4C72">
        <w:trPr>
          <w:trHeight w:val="315"/>
        </w:trPr>
        <w:tc>
          <w:tcPr>
            <w:tcW w:w="4436" w:type="dxa"/>
            <w:tcBorders>
              <w:top w:val="nil"/>
              <w:left w:val="nil"/>
              <w:bottom w:val="nil"/>
              <w:right w:val="nil"/>
            </w:tcBorders>
            <w:shd w:val="clear" w:color="auto" w:fill="auto"/>
            <w:noWrap/>
            <w:vAlign w:val="center"/>
            <w:hideMark/>
          </w:tcPr>
          <w:p w14:paraId="42D91789" w14:textId="77777777" w:rsidR="0019147B" w:rsidRDefault="0019147B" w:rsidP="0019147B">
            <w:pPr>
              <w:rPr>
                <w:rFonts w:ascii="Arial" w:hAnsi="Arial" w:cs="Arial"/>
                <w:color w:val="000000"/>
                <w:sz w:val="16"/>
                <w:szCs w:val="16"/>
              </w:rPr>
            </w:pPr>
            <w:r>
              <w:rPr>
                <w:rFonts w:ascii="Arial" w:hAnsi="Arial" w:cs="Arial"/>
                <w:color w:val="000000"/>
                <w:sz w:val="16"/>
                <w:szCs w:val="16"/>
              </w:rPr>
              <w:t>Net Cash Movement for the Year</w:t>
            </w:r>
          </w:p>
        </w:tc>
        <w:tc>
          <w:tcPr>
            <w:tcW w:w="1234" w:type="dxa"/>
            <w:tcBorders>
              <w:top w:val="nil"/>
              <w:left w:val="nil"/>
              <w:bottom w:val="double" w:sz="6" w:space="0" w:color="auto"/>
              <w:right w:val="nil"/>
            </w:tcBorders>
            <w:shd w:val="clear" w:color="auto" w:fill="auto"/>
            <w:vAlign w:val="center"/>
            <w:hideMark/>
          </w:tcPr>
          <w:p w14:paraId="1D68AF6C" w14:textId="5F352934" w:rsidR="0019147B" w:rsidRDefault="0019147B" w:rsidP="0019147B">
            <w:pPr>
              <w:jc w:val="right"/>
              <w:rPr>
                <w:rFonts w:ascii="Arial" w:hAnsi="Arial" w:cs="Arial"/>
                <w:color w:val="000000"/>
                <w:sz w:val="16"/>
                <w:szCs w:val="16"/>
              </w:rPr>
            </w:pPr>
            <w:r>
              <w:rPr>
                <w:rFonts w:ascii="Arial" w:hAnsi="Arial" w:cs="Arial"/>
                <w:color w:val="000000"/>
                <w:sz w:val="16"/>
                <w:szCs w:val="16"/>
              </w:rPr>
              <w:t>-6,951,109</w:t>
            </w:r>
          </w:p>
        </w:tc>
        <w:tc>
          <w:tcPr>
            <w:tcW w:w="1235" w:type="dxa"/>
            <w:tcBorders>
              <w:top w:val="nil"/>
              <w:left w:val="nil"/>
              <w:bottom w:val="double" w:sz="6" w:space="0" w:color="auto"/>
              <w:right w:val="nil"/>
            </w:tcBorders>
            <w:shd w:val="clear" w:color="auto" w:fill="auto"/>
            <w:vAlign w:val="center"/>
            <w:hideMark/>
          </w:tcPr>
          <w:p w14:paraId="541E951B" w14:textId="46DEA247" w:rsidR="0019147B" w:rsidRDefault="0019147B" w:rsidP="0019147B">
            <w:pPr>
              <w:jc w:val="right"/>
              <w:rPr>
                <w:rFonts w:ascii="Arial" w:hAnsi="Arial" w:cs="Arial"/>
                <w:color w:val="000000"/>
                <w:sz w:val="16"/>
                <w:szCs w:val="16"/>
              </w:rPr>
            </w:pPr>
            <w:r>
              <w:rPr>
                <w:rFonts w:ascii="Arial" w:hAnsi="Arial" w:cs="Arial"/>
                <w:color w:val="000000"/>
                <w:sz w:val="16"/>
                <w:szCs w:val="16"/>
              </w:rPr>
              <w:t>9,146,778</w:t>
            </w:r>
          </w:p>
        </w:tc>
        <w:tc>
          <w:tcPr>
            <w:tcW w:w="1235" w:type="dxa"/>
            <w:tcBorders>
              <w:top w:val="nil"/>
              <w:left w:val="nil"/>
              <w:bottom w:val="double" w:sz="6" w:space="0" w:color="auto"/>
              <w:right w:val="nil"/>
            </w:tcBorders>
            <w:shd w:val="clear" w:color="auto" w:fill="auto"/>
            <w:vAlign w:val="center"/>
            <w:hideMark/>
          </w:tcPr>
          <w:p w14:paraId="344B029A" w14:textId="4E49CE82" w:rsidR="0019147B" w:rsidRDefault="0019147B" w:rsidP="0019147B">
            <w:pPr>
              <w:jc w:val="right"/>
              <w:rPr>
                <w:rFonts w:ascii="Arial" w:hAnsi="Arial" w:cs="Arial"/>
                <w:color w:val="000000"/>
                <w:sz w:val="16"/>
                <w:szCs w:val="16"/>
              </w:rPr>
            </w:pPr>
            <w:r>
              <w:rPr>
                <w:rFonts w:ascii="Arial" w:hAnsi="Arial" w:cs="Arial"/>
                <w:color w:val="000000"/>
                <w:sz w:val="16"/>
                <w:szCs w:val="16"/>
              </w:rPr>
              <w:t>-5,223,988</w:t>
            </w:r>
          </w:p>
        </w:tc>
      </w:tr>
    </w:tbl>
    <w:p w14:paraId="78CCACD9" w14:textId="266AC831" w:rsidR="00C63A7D" w:rsidRDefault="00BD43DC" w:rsidP="00C63A7D">
      <w:pPr>
        <w:rPr>
          <w:rFonts w:ascii="Arial" w:eastAsia="TimesNewRomanPSMT-Identity-H" w:hAnsi="Arial" w:cs="TimesNewRomanPSMT-Identity-H"/>
          <w:b/>
          <w:caps/>
          <w:color w:val="000080"/>
          <w:sz w:val="20"/>
          <w:szCs w:val="20"/>
        </w:rPr>
      </w:pPr>
      <w:r>
        <w:rPr>
          <w:rFonts w:ascii="Arial" w:eastAsia="TimesNewRomanPSMT-Identity-H" w:hAnsi="Arial" w:cs="TimesNewRomanPSMT-Identity-H"/>
          <w:b/>
          <w:caps/>
          <w:color w:val="000080"/>
          <w:sz w:val="20"/>
          <w:szCs w:val="20"/>
        </w:rPr>
        <w:br w:type="page"/>
      </w:r>
      <w:r w:rsidR="00C63A7D" w:rsidRPr="00C91C90">
        <w:rPr>
          <w:rFonts w:ascii="Arial" w:eastAsia="TimesNewRomanPSMT-Identity-H" w:hAnsi="Arial" w:cs="TimesNewRomanPSMT-Identity-H"/>
          <w:b/>
          <w:caps/>
          <w:color w:val="000080"/>
          <w:sz w:val="20"/>
          <w:szCs w:val="20"/>
        </w:rPr>
        <w:lastRenderedPageBreak/>
        <w:t>How the ratios have been calculated</w:t>
      </w:r>
    </w:p>
    <w:p w14:paraId="698EC4F5" w14:textId="77777777" w:rsidR="000C71D9" w:rsidRDefault="000C71D9" w:rsidP="00C63A7D">
      <w:pPr>
        <w:rPr>
          <w:rFonts w:ascii="Arial" w:eastAsia="TimesNewRomanPSMT-Identity-H" w:hAnsi="Arial" w:cs="TimesNewRomanPSMT-Identity-H"/>
          <w:sz w:val="20"/>
          <w:szCs w:val="20"/>
        </w:rPr>
      </w:pPr>
    </w:p>
    <w:tbl>
      <w:tblPr>
        <w:tblW w:w="7513" w:type="dxa"/>
        <w:tblLook w:val="04A0" w:firstRow="1" w:lastRow="0" w:firstColumn="1" w:lastColumn="0" w:noHBand="0" w:noVBand="1"/>
      </w:tblPr>
      <w:tblGrid>
        <w:gridCol w:w="3640"/>
        <w:gridCol w:w="1501"/>
        <w:gridCol w:w="955"/>
        <w:gridCol w:w="1417"/>
      </w:tblGrid>
      <w:tr w:rsidR="000C71D9" w:rsidRPr="00400BAB" w14:paraId="664A2AA9" w14:textId="77777777" w:rsidTr="00522AFB">
        <w:trPr>
          <w:trHeight w:val="300"/>
        </w:trPr>
        <w:tc>
          <w:tcPr>
            <w:tcW w:w="3640" w:type="dxa"/>
            <w:tcBorders>
              <w:top w:val="nil"/>
              <w:left w:val="nil"/>
              <w:bottom w:val="nil"/>
              <w:right w:val="nil"/>
            </w:tcBorders>
            <w:shd w:val="clear" w:color="auto" w:fill="auto"/>
            <w:noWrap/>
            <w:vAlign w:val="center"/>
            <w:hideMark/>
          </w:tcPr>
          <w:p w14:paraId="24B058C9" w14:textId="77777777" w:rsidR="000C71D9" w:rsidRPr="00400BAB" w:rsidRDefault="000C71D9" w:rsidP="00522AFB">
            <w:pPr>
              <w:rPr>
                <w:rFonts w:ascii="Arial" w:hAnsi="Arial" w:cs="Arial"/>
                <w:color w:val="000000"/>
                <w:sz w:val="20"/>
                <w:szCs w:val="20"/>
              </w:rPr>
            </w:pPr>
            <w:r w:rsidRPr="00400BAB">
              <w:rPr>
                <w:rFonts w:ascii="Arial" w:hAnsi="Arial" w:cs="Arial"/>
                <w:b/>
                <w:bCs/>
                <w:color w:val="000000"/>
                <w:sz w:val="20"/>
                <w:szCs w:val="20"/>
              </w:rPr>
              <w:t>Capital ratio</w:t>
            </w:r>
          </w:p>
        </w:tc>
        <w:tc>
          <w:tcPr>
            <w:tcW w:w="1501" w:type="dxa"/>
            <w:tcBorders>
              <w:top w:val="nil"/>
              <w:left w:val="nil"/>
              <w:bottom w:val="nil"/>
              <w:right w:val="nil"/>
            </w:tcBorders>
            <w:shd w:val="clear" w:color="auto" w:fill="auto"/>
            <w:noWrap/>
            <w:vAlign w:val="bottom"/>
            <w:hideMark/>
          </w:tcPr>
          <w:p w14:paraId="1C4AE313" w14:textId="77777777" w:rsidR="000C71D9" w:rsidRPr="00400BAB" w:rsidRDefault="000C71D9" w:rsidP="00522AFB">
            <w:pPr>
              <w:rPr>
                <w:rFonts w:ascii="Arial" w:hAnsi="Arial" w:cs="Arial"/>
                <w:color w:val="000000"/>
                <w:sz w:val="20"/>
                <w:szCs w:val="20"/>
              </w:rPr>
            </w:pPr>
          </w:p>
        </w:tc>
        <w:tc>
          <w:tcPr>
            <w:tcW w:w="955" w:type="dxa"/>
            <w:tcBorders>
              <w:top w:val="nil"/>
              <w:left w:val="nil"/>
              <w:bottom w:val="nil"/>
              <w:right w:val="nil"/>
            </w:tcBorders>
            <w:shd w:val="clear" w:color="auto" w:fill="auto"/>
            <w:noWrap/>
            <w:vAlign w:val="bottom"/>
            <w:hideMark/>
          </w:tcPr>
          <w:p w14:paraId="7FF61163" w14:textId="77777777" w:rsidR="000C71D9" w:rsidRPr="00400BAB" w:rsidRDefault="000C71D9" w:rsidP="00522AFB">
            <w:pPr>
              <w:rPr>
                <w:sz w:val="20"/>
                <w:szCs w:val="20"/>
              </w:rPr>
            </w:pPr>
          </w:p>
        </w:tc>
        <w:tc>
          <w:tcPr>
            <w:tcW w:w="1417" w:type="dxa"/>
            <w:tcBorders>
              <w:top w:val="nil"/>
              <w:left w:val="nil"/>
              <w:bottom w:val="nil"/>
              <w:right w:val="nil"/>
            </w:tcBorders>
            <w:shd w:val="clear" w:color="auto" w:fill="auto"/>
            <w:noWrap/>
            <w:vAlign w:val="bottom"/>
            <w:hideMark/>
          </w:tcPr>
          <w:p w14:paraId="1E05F9BB" w14:textId="77777777" w:rsidR="000C71D9" w:rsidRPr="00400BAB" w:rsidRDefault="000C71D9" w:rsidP="00522AFB">
            <w:pPr>
              <w:rPr>
                <w:sz w:val="20"/>
                <w:szCs w:val="20"/>
              </w:rPr>
            </w:pPr>
          </w:p>
        </w:tc>
      </w:tr>
      <w:tr w:rsidR="000C71D9" w:rsidRPr="00400BAB" w14:paraId="1A82F6E4" w14:textId="77777777" w:rsidTr="00522AFB">
        <w:trPr>
          <w:trHeight w:val="300"/>
        </w:trPr>
        <w:tc>
          <w:tcPr>
            <w:tcW w:w="3640" w:type="dxa"/>
            <w:tcBorders>
              <w:top w:val="nil"/>
              <w:left w:val="nil"/>
              <w:bottom w:val="nil"/>
              <w:right w:val="nil"/>
            </w:tcBorders>
            <w:shd w:val="clear" w:color="auto" w:fill="auto"/>
            <w:noWrap/>
            <w:vAlign w:val="center"/>
            <w:hideMark/>
          </w:tcPr>
          <w:p w14:paraId="46538A48" w14:textId="01A7BFA9" w:rsidR="000C71D9" w:rsidRPr="00400BAB" w:rsidRDefault="000C71D9" w:rsidP="00522AFB">
            <w:pPr>
              <w:rPr>
                <w:sz w:val="20"/>
                <w:szCs w:val="20"/>
              </w:rPr>
            </w:pPr>
            <w:r w:rsidRPr="00400BAB">
              <w:rPr>
                <w:rFonts w:ascii="Arial" w:hAnsi="Arial" w:cs="Arial"/>
                <w:color w:val="000000"/>
                <w:sz w:val="20"/>
                <w:szCs w:val="20"/>
              </w:rPr>
              <w:t xml:space="preserve">Position </w:t>
            </w:r>
            <w:proofErr w:type="gramStart"/>
            <w:r w:rsidRPr="00400BAB">
              <w:rPr>
                <w:rFonts w:ascii="Arial" w:hAnsi="Arial" w:cs="Arial"/>
                <w:color w:val="000000"/>
                <w:sz w:val="20"/>
                <w:szCs w:val="20"/>
              </w:rPr>
              <w:t>at</w:t>
            </w:r>
            <w:proofErr w:type="gramEnd"/>
            <w:r w:rsidRPr="00400BAB">
              <w:rPr>
                <w:rFonts w:ascii="Arial" w:hAnsi="Arial" w:cs="Arial"/>
                <w:color w:val="000000"/>
                <w:sz w:val="20"/>
                <w:szCs w:val="20"/>
              </w:rPr>
              <w:t xml:space="preserve"> 31 March 2023</w:t>
            </w:r>
          </w:p>
        </w:tc>
        <w:tc>
          <w:tcPr>
            <w:tcW w:w="1501" w:type="dxa"/>
            <w:tcBorders>
              <w:top w:val="nil"/>
              <w:left w:val="nil"/>
              <w:bottom w:val="nil"/>
              <w:right w:val="nil"/>
            </w:tcBorders>
            <w:shd w:val="clear" w:color="auto" w:fill="auto"/>
            <w:noWrap/>
            <w:vAlign w:val="bottom"/>
            <w:hideMark/>
          </w:tcPr>
          <w:p w14:paraId="0DECD3C9" w14:textId="77777777" w:rsidR="000C71D9" w:rsidRPr="00400BAB" w:rsidRDefault="000C71D9" w:rsidP="00522AFB">
            <w:pPr>
              <w:rPr>
                <w:sz w:val="20"/>
                <w:szCs w:val="20"/>
              </w:rPr>
            </w:pPr>
          </w:p>
        </w:tc>
        <w:tc>
          <w:tcPr>
            <w:tcW w:w="955" w:type="dxa"/>
            <w:tcBorders>
              <w:top w:val="nil"/>
              <w:left w:val="nil"/>
              <w:bottom w:val="nil"/>
              <w:right w:val="nil"/>
            </w:tcBorders>
            <w:shd w:val="clear" w:color="auto" w:fill="auto"/>
            <w:noWrap/>
            <w:vAlign w:val="bottom"/>
            <w:hideMark/>
          </w:tcPr>
          <w:p w14:paraId="51858183" w14:textId="77777777" w:rsidR="000C71D9" w:rsidRPr="00400BAB" w:rsidRDefault="000C71D9" w:rsidP="00522AFB">
            <w:pPr>
              <w:rPr>
                <w:sz w:val="20"/>
                <w:szCs w:val="20"/>
              </w:rPr>
            </w:pPr>
          </w:p>
        </w:tc>
        <w:tc>
          <w:tcPr>
            <w:tcW w:w="1417" w:type="dxa"/>
            <w:tcBorders>
              <w:top w:val="nil"/>
              <w:left w:val="nil"/>
              <w:bottom w:val="nil"/>
              <w:right w:val="nil"/>
            </w:tcBorders>
            <w:shd w:val="clear" w:color="auto" w:fill="auto"/>
            <w:noWrap/>
            <w:vAlign w:val="bottom"/>
            <w:hideMark/>
          </w:tcPr>
          <w:p w14:paraId="09C660F9" w14:textId="77777777" w:rsidR="000C71D9" w:rsidRPr="00400BAB" w:rsidRDefault="000C71D9" w:rsidP="00522AFB">
            <w:pPr>
              <w:rPr>
                <w:sz w:val="20"/>
                <w:szCs w:val="20"/>
              </w:rPr>
            </w:pPr>
          </w:p>
        </w:tc>
      </w:tr>
      <w:tr w:rsidR="000C71D9" w:rsidRPr="00400BAB" w14:paraId="30717C8B" w14:textId="77777777" w:rsidTr="00522AFB">
        <w:trPr>
          <w:trHeight w:val="300"/>
        </w:trPr>
        <w:tc>
          <w:tcPr>
            <w:tcW w:w="3640" w:type="dxa"/>
            <w:tcBorders>
              <w:top w:val="nil"/>
              <w:left w:val="nil"/>
              <w:bottom w:val="nil"/>
              <w:right w:val="nil"/>
            </w:tcBorders>
            <w:shd w:val="clear" w:color="auto" w:fill="auto"/>
            <w:noWrap/>
            <w:vAlign w:val="center"/>
            <w:hideMark/>
          </w:tcPr>
          <w:p w14:paraId="2D4658C7" w14:textId="77777777" w:rsidR="000C71D9" w:rsidRPr="00400BAB" w:rsidRDefault="000C71D9" w:rsidP="00522AFB">
            <w:pPr>
              <w:rPr>
                <w:rFonts w:ascii="Arial" w:hAnsi="Arial" w:cs="Arial"/>
                <w:b/>
                <w:bCs/>
                <w:color w:val="000000"/>
                <w:sz w:val="20"/>
                <w:szCs w:val="20"/>
              </w:rPr>
            </w:pPr>
            <w:r w:rsidRPr="00400BAB">
              <w:rPr>
                <w:rFonts w:ascii="Arial" w:hAnsi="Arial" w:cs="Arial"/>
                <w:b/>
                <w:bCs/>
                <w:color w:val="000000"/>
                <w:sz w:val="20"/>
                <w:szCs w:val="20"/>
              </w:rPr>
              <w:t>Capital</w:t>
            </w:r>
          </w:p>
        </w:tc>
        <w:tc>
          <w:tcPr>
            <w:tcW w:w="1501" w:type="dxa"/>
            <w:tcBorders>
              <w:top w:val="nil"/>
              <w:left w:val="nil"/>
              <w:bottom w:val="nil"/>
              <w:right w:val="nil"/>
            </w:tcBorders>
            <w:shd w:val="clear" w:color="auto" w:fill="auto"/>
            <w:noWrap/>
            <w:vAlign w:val="center"/>
            <w:hideMark/>
          </w:tcPr>
          <w:p w14:paraId="7EC89CDC" w14:textId="77777777" w:rsidR="000C71D9" w:rsidRPr="00400BAB" w:rsidRDefault="000C71D9" w:rsidP="00522AFB">
            <w:pPr>
              <w:rPr>
                <w:rFonts w:ascii="Arial" w:hAnsi="Arial" w:cs="Arial"/>
                <w:b/>
                <w:bCs/>
                <w:color w:val="000000"/>
                <w:sz w:val="20"/>
                <w:szCs w:val="20"/>
              </w:rPr>
            </w:pPr>
          </w:p>
        </w:tc>
        <w:tc>
          <w:tcPr>
            <w:tcW w:w="955" w:type="dxa"/>
            <w:tcBorders>
              <w:top w:val="nil"/>
              <w:left w:val="nil"/>
              <w:bottom w:val="nil"/>
              <w:right w:val="nil"/>
            </w:tcBorders>
            <w:shd w:val="clear" w:color="auto" w:fill="auto"/>
            <w:noWrap/>
            <w:vAlign w:val="center"/>
            <w:hideMark/>
          </w:tcPr>
          <w:p w14:paraId="7136AA91" w14:textId="77777777" w:rsidR="000C71D9" w:rsidRPr="00400BAB" w:rsidRDefault="000C71D9" w:rsidP="00522AFB">
            <w:pPr>
              <w:rPr>
                <w:sz w:val="20"/>
                <w:szCs w:val="20"/>
              </w:rPr>
            </w:pPr>
          </w:p>
        </w:tc>
        <w:tc>
          <w:tcPr>
            <w:tcW w:w="1417" w:type="dxa"/>
            <w:tcBorders>
              <w:top w:val="nil"/>
              <w:left w:val="nil"/>
              <w:bottom w:val="nil"/>
              <w:right w:val="nil"/>
            </w:tcBorders>
            <w:shd w:val="clear" w:color="auto" w:fill="auto"/>
            <w:noWrap/>
            <w:vAlign w:val="center"/>
            <w:hideMark/>
          </w:tcPr>
          <w:p w14:paraId="593A6640" w14:textId="77777777" w:rsidR="000C71D9" w:rsidRPr="00400BAB" w:rsidRDefault="000C71D9" w:rsidP="00522AFB">
            <w:pPr>
              <w:rPr>
                <w:sz w:val="20"/>
                <w:szCs w:val="20"/>
              </w:rPr>
            </w:pPr>
          </w:p>
        </w:tc>
      </w:tr>
      <w:tr w:rsidR="000C71D9" w:rsidRPr="00400BAB" w14:paraId="2AD09E7B" w14:textId="77777777" w:rsidTr="00522AFB">
        <w:trPr>
          <w:trHeight w:val="300"/>
        </w:trPr>
        <w:tc>
          <w:tcPr>
            <w:tcW w:w="3640" w:type="dxa"/>
            <w:tcBorders>
              <w:top w:val="nil"/>
              <w:left w:val="nil"/>
              <w:bottom w:val="nil"/>
              <w:right w:val="nil"/>
            </w:tcBorders>
            <w:shd w:val="clear" w:color="auto" w:fill="auto"/>
            <w:noWrap/>
            <w:vAlign w:val="center"/>
            <w:hideMark/>
          </w:tcPr>
          <w:p w14:paraId="0CC3AB6E" w14:textId="77777777" w:rsidR="000C71D9" w:rsidRPr="00400BAB" w:rsidRDefault="000C71D9" w:rsidP="00522AFB">
            <w:pPr>
              <w:rPr>
                <w:sz w:val="20"/>
                <w:szCs w:val="20"/>
              </w:rPr>
            </w:pPr>
          </w:p>
        </w:tc>
        <w:tc>
          <w:tcPr>
            <w:tcW w:w="1501" w:type="dxa"/>
            <w:tcBorders>
              <w:top w:val="nil"/>
              <w:left w:val="nil"/>
              <w:bottom w:val="nil"/>
              <w:right w:val="nil"/>
            </w:tcBorders>
            <w:shd w:val="clear" w:color="auto" w:fill="auto"/>
            <w:noWrap/>
            <w:vAlign w:val="center"/>
            <w:hideMark/>
          </w:tcPr>
          <w:p w14:paraId="499440A6" w14:textId="77777777" w:rsidR="000C71D9" w:rsidRPr="00400BAB" w:rsidRDefault="000C71D9" w:rsidP="00522AFB">
            <w:pPr>
              <w:rPr>
                <w:sz w:val="20"/>
                <w:szCs w:val="20"/>
              </w:rPr>
            </w:pPr>
          </w:p>
        </w:tc>
        <w:tc>
          <w:tcPr>
            <w:tcW w:w="955" w:type="dxa"/>
            <w:tcBorders>
              <w:top w:val="nil"/>
              <w:left w:val="nil"/>
              <w:bottom w:val="nil"/>
              <w:right w:val="nil"/>
            </w:tcBorders>
            <w:shd w:val="clear" w:color="auto" w:fill="auto"/>
            <w:noWrap/>
            <w:vAlign w:val="center"/>
            <w:hideMark/>
          </w:tcPr>
          <w:p w14:paraId="57810827" w14:textId="77777777" w:rsidR="000C71D9" w:rsidRPr="00400BAB" w:rsidRDefault="000C71D9" w:rsidP="00522AFB">
            <w:pPr>
              <w:rPr>
                <w:sz w:val="20"/>
                <w:szCs w:val="20"/>
              </w:rPr>
            </w:pPr>
          </w:p>
        </w:tc>
        <w:tc>
          <w:tcPr>
            <w:tcW w:w="1417" w:type="dxa"/>
            <w:tcBorders>
              <w:top w:val="nil"/>
              <w:left w:val="nil"/>
              <w:bottom w:val="nil"/>
              <w:right w:val="nil"/>
            </w:tcBorders>
            <w:shd w:val="clear" w:color="auto" w:fill="auto"/>
            <w:noWrap/>
            <w:vAlign w:val="center"/>
            <w:hideMark/>
          </w:tcPr>
          <w:p w14:paraId="0C22B6EF" w14:textId="77777777" w:rsidR="000C71D9" w:rsidRPr="00400BAB" w:rsidRDefault="000C71D9" w:rsidP="00522AFB">
            <w:pPr>
              <w:rPr>
                <w:sz w:val="20"/>
                <w:szCs w:val="20"/>
              </w:rPr>
            </w:pPr>
          </w:p>
        </w:tc>
      </w:tr>
      <w:tr w:rsidR="001A4CA2" w:rsidRPr="00400BAB" w14:paraId="28A96E10" w14:textId="77777777" w:rsidTr="00B8343C">
        <w:trPr>
          <w:trHeight w:val="300"/>
        </w:trPr>
        <w:tc>
          <w:tcPr>
            <w:tcW w:w="3640" w:type="dxa"/>
            <w:tcBorders>
              <w:top w:val="nil"/>
              <w:left w:val="nil"/>
              <w:bottom w:val="nil"/>
              <w:right w:val="nil"/>
            </w:tcBorders>
            <w:shd w:val="clear" w:color="auto" w:fill="auto"/>
            <w:noWrap/>
            <w:vAlign w:val="center"/>
            <w:hideMark/>
          </w:tcPr>
          <w:p w14:paraId="205C9C3E" w14:textId="77777777" w:rsidR="001A4CA2" w:rsidRPr="00400BAB" w:rsidRDefault="001A4CA2" w:rsidP="001A4CA2">
            <w:pPr>
              <w:rPr>
                <w:rFonts w:ascii="Arial" w:hAnsi="Arial" w:cs="Arial"/>
                <w:color w:val="000000"/>
                <w:sz w:val="20"/>
                <w:szCs w:val="20"/>
              </w:rPr>
            </w:pPr>
            <w:r w:rsidRPr="00400BAB">
              <w:rPr>
                <w:rFonts w:ascii="Arial" w:hAnsi="Arial" w:cs="Arial"/>
                <w:color w:val="000000"/>
                <w:sz w:val="20"/>
                <w:szCs w:val="20"/>
              </w:rPr>
              <w:t>Gross capital</w:t>
            </w:r>
          </w:p>
        </w:tc>
        <w:tc>
          <w:tcPr>
            <w:tcW w:w="1501" w:type="dxa"/>
            <w:tcBorders>
              <w:top w:val="nil"/>
              <w:left w:val="nil"/>
              <w:bottom w:val="nil"/>
              <w:right w:val="nil"/>
            </w:tcBorders>
            <w:shd w:val="clear" w:color="auto" w:fill="auto"/>
            <w:noWrap/>
            <w:hideMark/>
          </w:tcPr>
          <w:p w14:paraId="1BE2BBE9" w14:textId="4391C750" w:rsidR="001A4CA2" w:rsidRPr="00400BAB" w:rsidRDefault="001A4CA2" w:rsidP="001A4CA2">
            <w:pPr>
              <w:jc w:val="right"/>
              <w:rPr>
                <w:rFonts w:ascii="Arial" w:hAnsi="Arial" w:cs="Arial"/>
                <w:color w:val="000000"/>
                <w:sz w:val="20"/>
                <w:szCs w:val="20"/>
              </w:rPr>
            </w:pPr>
            <w:r w:rsidRPr="00400BAB">
              <w:rPr>
                <w:rFonts w:ascii="Arial" w:hAnsi="Arial" w:cs="Arial"/>
                <w:sz w:val="20"/>
                <w:szCs w:val="20"/>
              </w:rPr>
              <w:t>15,988,321</w:t>
            </w:r>
          </w:p>
        </w:tc>
        <w:tc>
          <w:tcPr>
            <w:tcW w:w="955" w:type="dxa"/>
            <w:tcBorders>
              <w:top w:val="nil"/>
              <w:left w:val="nil"/>
              <w:bottom w:val="nil"/>
              <w:right w:val="nil"/>
            </w:tcBorders>
            <w:shd w:val="clear" w:color="auto" w:fill="auto"/>
            <w:noWrap/>
            <w:vAlign w:val="center"/>
            <w:hideMark/>
          </w:tcPr>
          <w:p w14:paraId="644F94C3" w14:textId="77777777" w:rsidR="001A4CA2" w:rsidRPr="00400BAB" w:rsidRDefault="001A4CA2" w:rsidP="001A4CA2">
            <w:pPr>
              <w:jc w:val="right"/>
              <w:rPr>
                <w:rFonts w:ascii="Arial" w:hAnsi="Arial" w:cs="Arial"/>
                <w:color w:val="000000"/>
                <w:sz w:val="20"/>
                <w:szCs w:val="20"/>
              </w:rPr>
            </w:pPr>
          </w:p>
        </w:tc>
        <w:tc>
          <w:tcPr>
            <w:tcW w:w="1417" w:type="dxa"/>
            <w:tcBorders>
              <w:top w:val="nil"/>
              <w:left w:val="nil"/>
              <w:bottom w:val="nil"/>
              <w:right w:val="nil"/>
            </w:tcBorders>
            <w:shd w:val="clear" w:color="auto" w:fill="auto"/>
            <w:noWrap/>
            <w:vAlign w:val="center"/>
            <w:hideMark/>
          </w:tcPr>
          <w:p w14:paraId="5C0AE2BE" w14:textId="77777777" w:rsidR="001A4CA2" w:rsidRPr="00400BAB" w:rsidRDefault="001A4CA2" w:rsidP="001A4CA2">
            <w:pPr>
              <w:rPr>
                <w:sz w:val="20"/>
                <w:szCs w:val="20"/>
              </w:rPr>
            </w:pPr>
          </w:p>
        </w:tc>
      </w:tr>
      <w:tr w:rsidR="001A4CA2" w:rsidRPr="00400BAB" w14:paraId="0FC2381C" w14:textId="77777777" w:rsidTr="00B8343C">
        <w:trPr>
          <w:trHeight w:val="315"/>
        </w:trPr>
        <w:tc>
          <w:tcPr>
            <w:tcW w:w="3640" w:type="dxa"/>
            <w:tcBorders>
              <w:top w:val="nil"/>
              <w:left w:val="nil"/>
              <w:bottom w:val="nil"/>
              <w:right w:val="nil"/>
            </w:tcBorders>
            <w:shd w:val="clear" w:color="auto" w:fill="auto"/>
            <w:noWrap/>
            <w:vAlign w:val="center"/>
            <w:hideMark/>
          </w:tcPr>
          <w:p w14:paraId="06F029E4" w14:textId="77777777" w:rsidR="001A4CA2" w:rsidRPr="00400BAB" w:rsidRDefault="001A4CA2" w:rsidP="001A4CA2">
            <w:pPr>
              <w:rPr>
                <w:rFonts w:ascii="Arial" w:hAnsi="Arial" w:cs="Arial"/>
                <w:color w:val="000000"/>
                <w:sz w:val="20"/>
                <w:szCs w:val="20"/>
              </w:rPr>
            </w:pPr>
            <w:r w:rsidRPr="00400BAB">
              <w:rPr>
                <w:rFonts w:ascii="Arial" w:hAnsi="Arial" w:cs="Arial"/>
                <w:color w:val="000000"/>
                <w:sz w:val="20"/>
                <w:szCs w:val="20"/>
              </w:rPr>
              <w:t>Less deductions</w:t>
            </w:r>
          </w:p>
        </w:tc>
        <w:tc>
          <w:tcPr>
            <w:tcW w:w="1501" w:type="dxa"/>
            <w:tcBorders>
              <w:top w:val="nil"/>
              <w:left w:val="nil"/>
              <w:bottom w:val="single" w:sz="8" w:space="0" w:color="auto"/>
              <w:right w:val="nil"/>
            </w:tcBorders>
            <w:shd w:val="clear" w:color="auto" w:fill="auto"/>
            <w:noWrap/>
            <w:hideMark/>
          </w:tcPr>
          <w:p w14:paraId="4683CDA5" w14:textId="4BE5EF3C" w:rsidR="001A4CA2" w:rsidRPr="00400BAB" w:rsidRDefault="001A4CA2" w:rsidP="001A4CA2">
            <w:pPr>
              <w:jc w:val="right"/>
              <w:rPr>
                <w:rFonts w:ascii="Arial" w:hAnsi="Arial" w:cs="Arial"/>
                <w:color w:val="000000"/>
                <w:sz w:val="20"/>
                <w:szCs w:val="20"/>
              </w:rPr>
            </w:pPr>
            <w:r w:rsidRPr="00400BAB">
              <w:rPr>
                <w:rFonts w:ascii="Arial" w:hAnsi="Arial" w:cs="Arial"/>
                <w:sz w:val="20"/>
                <w:szCs w:val="20"/>
              </w:rPr>
              <w:t>245,922</w:t>
            </w:r>
          </w:p>
        </w:tc>
        <w:tc>
          <w:tcPr>
            <w:tcW w:w="955" w:type="dxa"/>
            <w:tcBorders>
              <w:top w:val="nil"/>
              <w:left w:val="nil"/>
              <w:bottom w:val="nil"/>
              <w:right w:val="nil"/>
            </w:tcBorders>
            <w:shd w:val="clear" w:color="auto" w:fill="auto"/>
            <w:noWrap/>
            <w:vAlign w:val="center"/>
            <w:hideMark/>
          </w:tcPr>
          <w:p w14:paraId="49750729" w14:textId="77777777" w:rsidR="001A4CA2" w:rsidRPr="00400BAB" w:rsidRDefault="001A4CA2" w:rsidP="001A4CA2">
            <w:pPr>
              <w:jc w:val="right"/>
              <w:rPr>
                <w:rFonts w:ascii="Arial" w:hAnsi="Arial" w:cs="Arial"/>
                <w:color w:val="000000"/>
                <w:sz w:val="20"/>
                <w:szCs w:val="20"/>
              </w:rPr>
            </w:pPr>
          </w:p>
        </w:tc>
        <w:tc>
          <w:tcPr>
            <w:tcW w:w="1417" w:type="dxa"/>
            <w:tcBorders>
              <w:top w:val="nil"/>
              <w:left w:val="nil"/>
              <w:bottom w:val="nil"/>
              <w:right w:val="nil"/>
            </w:tcBorders>
            <w:shd w:val="clear" w:color="auto" w:fill="auto"/>
            <w:noWrap/>
            <w:vAlign w:val="center"/>
            <w:hideMark/>
          </w:tcPr>
          <w:p w14:paraId="29A09007" w14:textId="77777777" w:rsidR="001A4CA2" w:rsidRPr="00400BAB" w:rsidRDefault="001A4CA2" w:rsidP="001A4CA2">
            <w:pPr>
              <w:rPr>
                <w:sz w:val="20"/>
                <w:szCs w:val="20"/>
              </w:rPr>
            </w:pPr>
          </w:p>
        </w:tc>
      </w:tr>
      <w:tr w:rsidR="001A4CA2" w:rsidRPr="00400BAB" w14:paraId="6DE72873" w14:textId="77777777" w:rsidTr="00B8343C">
        <w:trPr>
          <w:trHeight w:val="300"/>
        </w:trPr>
        <w:tc>
          <w:tcPr>
            <w:tcW w:w="3640" w:type="dxa"/>
            <w:tcBorders>
              <w:top w:val="nil"/>
              <w:left w:val="nil"/>
              <w:bottom w:val="nil"/>
              <w:right w:val="nil"/>
            </w:tcBorders>
            <w:shd w:val="clear" w:color="auto" w:fill="auto"/>
            <w:noWrap/>
            <w:vAlign w:val="center"/>
            <w:hideMark/>
          </w:tcPr>
          <w:p w14:paraId="28EF3C4D" w14:textId="77777777" w:rsidR="001A4CA2" w:rsidRPr="00400BAB" w:rsidRDefault="001A4CA2" w:rsidP="001A4CA2">
            <w:pPr>
              <w:rPr>
                <w:rFonts w:ascii="Arial" w:hAnsi="Arial" w:cs="Arial"/>
                <w:color w:val="000000"/>
                <w:sz w:val="20"/>
                <w:szCs w:val="20"/>
              </w:rPr>
            </w:pPr>
            <w:r w:rsidRPr="00400BAB">
              <w:rPr>
                <w:rFonts w:ascii="Arial" w:hAnsi="Arial" w:cs="Arial"/>
                <w:color w:val="000000"/>
                <w:sz w:val="20"/>
                <w:szCs w:val="20"/>
              </w:rPr>
              <w:t>Total capital</w:t>
            </w:r>
          </w:p>
        </w:tc>
        <w:tc>
          <w:tcPr>
            <w:tcW w:w="1501" w:type="dxa"/>
            <w:tcBorders>
              <w:top w:val="nil"/>
              <w:left w:val="nil"/>
              <w:bottom w:val="nil"/>
              <w:right w:val="nil"/>
            </w:tcBorders>
            <w:shd w:val="clear" w:color="auto" w:fill="auto"/>
            <w:noWrap/>
            <w:hideMark/>
          </w:tcPr>
          <w:p w14:paraId="7CE91D4D" w14:textId="57B27B24" w:rsidR="001A4CA2" w:rsidRPr="00400BAB" w:rsidRDefault="001A4CA2" w:rsidP="001A4CA2">
            <w:pPr>
              <w:jc w:val="right"/>
              <w:rPr>
                <w:rFonts w:ascii="Arial" w:hAnsi="Arial" w:cs="Arial"/>
                <w:color w:val="000000"/>
                <w:sz w:val="20"/>
                <w:szCs w:val="20"/>
              </w:rPr>
            </w:pPr>
            <w:r w:rsidRPr="00400BAB">
              <w:rPr>
                <w:rFonts w:ascii="Arial" w:hAnsi="Arial" w:cs="Arial"/>
                <w:sz w:val="20"/>
                <w:szCs w:val="20"/>
              </w:rPr>
              <w:t>15,742,400</w:t>
            </w:r>
          </w:p>
        </w:tc>
        <w:tc>
          <w:tcPr>
            <w:tcW w:w="955" w:type="dxa"/>
            <w:tcBorders>
              <w:top w:val="nil"/>
              <w:left w:val="nil"/>
              <w:bottom w:val="nil"/>
              <w:right w:val="nil"/>
            </w:tcBorders>
            <w:shd w:val="clear" w:color="auto" w:fill="auto"/>
            <w:noWrap/>
            <w:vAlign w:val="center"/>
            <w:hideMark/>
          </w:tcPr>
          <w:p w14:paraId="1616102E" w14:textId="77777777" w:rsidR="001A4CA2" w:rsidRPr="00400BAB" w:rsidRDefault="001A4CA2" w:rsidP="001A4CA2">
            <w:pPr>
              <w:jc w:val="right"/>
              <w:rPr>
                <w:rFonts w:ascii="Arial" w:hAnsi="Arial" w:cs="Arial"/>
                <w:color w:val="000000"/>
                <w:sz w:val="20"/>
                <w:szCs w:val="20"/>
              </w:rPr>
            </w:pPr>
          </w:p>
        </w:tc>
        <w:tc>
          <w:tcPr>
            <w:tcW w:w="1417" w:type="dxa"/>
            <w:tcBorders>
              <w:top w:val="nil"/>
              <w:left w:val="nil"/>
              <w:bottom w:val="nil"/>
              <w:right w:val="nil"/>
            </w:tcBorders>
            <w:shd w:val="clear" w:color="auto" w:fill="auto"/>
            <w:noWrap/>
            <w:vAlign w:val="center"/>
            <w:hideMark/>
          </w:tcPr>
          <w:p w14:paraId="67777C44" w14:textId="77777777" w:rsidR="001A4CA2" w:rsidRPr="00400BAB" w:rsidRDefault="001A4CA2" w:rsidP="001A4CA2">
            <w:pPr>
              <w:rPr>
                <w:sz w:val="20"/>
                <w:szCs w:val="20"/>
              </w:rPr>
            </w:pPr>
          </w:p>
        </w:tc>
      </w:tr>
      <w:tr w:rsidR="000C71D9" w:rsidRPr="000C71D9" w14:paraId="0918AE89" w14:textId="77777777" w:rsidTr="00522AFB">
        <w:trPr>
          <w:trHeight w:val="300"/>
        </w:trPr>
        <w:tc>
          <w:tcPr>
            <w:tcW w:w="3640" w:type="dxa"/>
            <w:tcBorders>
              <w:top w:val="nil"/>
              <w:left w:val="nil"/>
              <w:bottom w:val="nil"/>
              <w:right w:val="nil"/>
            </w:tcBorders>
            <w:shd w:val="clear" w:color="auto" w:fill="auto"/>
            <w:noWrap/>
            <w:vAlign w:val="center"/>
            <w:hideMark/>
          </w:tcPr>
          <w:p w14:paraId="5807A542" w14:textId="77777777" w:rsidR="000C71D9" w:rsidRPr="000C71D9" w:rsidRDefault="000C71D9" w:rsidP="00522AFB">
            <w:pPr>
              <w:rPr>
                <w:sz w:val="20"/>
                <w:szCs w:val="20"/>
                <w:highlight w:val="yellow"/>
              </w:rPr>
            </w:pPr>
          </w:p>
        </w:tc>
        <w:tc>
          <w:tcPr>
            <w:tcW w:w="1501" w:type="dxa"/>
            <w:tcBorders>
              <w:top w:val="nil"/>
              <w:left w:val="nil"/>
              <w:bottom w:val="nil"/>
              <w:right w:val="nil"/>
            </w:tcBorders>
            <w:shd w:val="clear" w:color="auto" w:fill="auto"/>
            <w:noWrap/>
            <w:vAlign w:val="center"/>
            <w:hideMark/>
          </w:tcPr>
          <w:p w14:paraId="385BBAF4" w14:textId="77777777" w:rsidR="000C71D9" w:rsidRPr="000C71D9" w:rsidRDefault="000C71D9" w:rsidP="00522AFB">
            <w:pPr>
              <w:rPr>
                <w:sz w:val="20"/>
                <w:szCs w:val="20"/>
                <w:highlight w:val="yellow"/>
              </w:rPr>
            </w:pPr>
          </w:p>
        </w:tc>
        <w:tc>
          <w:tcPr>
            <w:tcW w:w="955" w:type="dxa"/>
            <w:tcBorders>
              <w:top w:val="nil"/>
              <w:left w:val="nil"/>
              <w:bottom w:val="nil"/>
              <w:right w:val="nil"/>
            </w:tcBorders>
            <w:shd w:val="clear" w:color="auto" w:fill="auto"/>
            <w:noWrap/>
            <w:vAlign w:val="center"/>
            <w:hideMark/>
          </w:tcPr>
          <w:p w14:paraId="322004A6" w14:textId="77777777" w:rsidR="000C71D9" w:rsidRPr="000C71D9" w:rsidRDefault="000C71D9" w:rsidP="00522AFB">
            <w:pPr>
              <w:rPr>
                <w:sz w:val="20"/>
                <w:szCs w:val="20"/>
                <w:highlight w:val="yellow"/>
              </w:rPr>
            </w:pPr>
          </w:p>
        </w:tc>
        <w:tc>
          <w:tcPr>
            <w:tcW w:w="1417" w:type="dxa"/>
            <w:tcBorders>
              <w:top w:val="nil"/>
              <w:left w:val="nil"/>
              <w:bottom w:val="nil"/>
              <w:right w:val="nil"/>
            </w:tcBorders>
            <w:shd w:val="clear" w:color="auto" w:fill="auto"/>
            <w:noWrap/>
            <w:vAlign w:val="center"/>
            <w:hideMark/>
          </w:tcPr>
          <w:p w14:paraId="115F1E43" w14:textId="77777777" w:rsidR="000C71D9" w:rsidRPr="000C71D9" w:rsidRDefault="000C71D9" w:rsidP="00522AFB">
            <w:pPr>
              <w:rPr>
                <w:sz w:val="20"/>
                <w:szCs w:val="20"/>
                <w:highlight w:val="yellow"/>
              </w:rPr>
            </w:pPr>
          </w:p>
        </w:tc>
      </w:tr>
      <w:tr w:rsidR="00775B48" w:rsidRPr="000C71D9" w14:paraId="3BA67944" w14:textId="77777777" w:rsidTr="00522AFB">
        <w:trPr>
          <w:trHeight w:val="300"/>
        </w:trPr>
        <w:tc>
          <w:tcPr>
            <w:tcW w:w="3640" w:type="dxa"/>
            <w:tcBorders>
              <w:top w:val="nil"/>
              <w:left w:val="nil"/>
              <w:bottom w:val="nil"/>
              <w:right w:val="nil"/>
            </w:tcBorders>
            <w:shd w:val="clear" w:color="auto" w:fill="auto"/>
            <w:noWrap/>
            <w:vAlign w:val="center"/>
            <w:hideMark/>
          </w:tcPr>
          <w:p w14:paraId="12EC681B" w14:textId="77777777" w:rsidR="00775B48" w:rsidRPr="000C71D9" w:rsidRDefault="00775B48" w:rsidP="00775B48">
            <w:pPr>
              <w:rPr>
                <w:sz w:val="20"/>
                <w:szCs w:val="20"/>
                <w:highlight w:val="yellow"/>
              </w:rPr>
            </w:pPr>
          </w:p>
        </w:tc>
        <w:tc>
          <w:tcPr>
            <w:tcW w:w="1501" w:type="dxa"/>
            <w:tcBorders>
              <w:top w:val="nil"/>
              <w:left w:val="nil"/>
              <w:bottom w:val="nil"/>
              <w:right w:val="nil"/>
            </w:tcBorders>
            <w:shd w:val="clear" w:color="auto" w:fill="auto"/>
            <w:noWrap/>
            <w:vAlign w:val="center"/>
            <w:hideMark/>
          </w:tcPr>
          <w:p w14:paraId="12629F57" w14:textId="77777777" w:rsidR="00775B48" w:rsidRPr="000C71D9" w:rsidRDefault="00775B48" w:rsidP="00400BAB">
            <w:pPr>
              <w:jc w:val="right"/>
              <w:rPr>
                <w:sz w:val="20"/>
                <w:szCs w:val="20"/>
                <w:highlight w:val="yellow"/>
              </w:rPr>
            </w:pPr>
          </w:p>
        </w:tc>
        <w:tc>
          <w:tcPr>
            <w:tcW w:w="955" w:type="dxa"/>
            <w:tcBorders>
              <w:top w:val="nil"/>
              <w:left w:val="nil"/>
              <w:bottom w:val="nil"/>
              <w:right w:val="nil"/>
            </w:tcBorders>
            <w:shd w:val="clear" w:color="auto" w:fill="auto"/>
            <w:noWrap/>
            <w:vAlign w:val="center"/>
            <w:hideMark/>
          </w:tcPr>
          <w:p w14:paraId="6C8783AD" w14:textId="578048BA" w:rsidR="00775B48" w:rsidRPr="000C71D9" w:rsidRDefault="00775B48" w:rsidP="00400BAB">
            <w:pPr>
              <w:jc w:val="right"/>
              <w:rPr>
                <w:sz w:val="20"/>
                <w:szCs w:val="20"/>
                <w:highlight w:val="yellow"/>
              </w:rPr>
            </w:pPr>
            <w:r>
              <w:rPr>
                <w:rFonts w:ascii="Arial" w:hAnsi="Arial" w:cs="Arial"/>
                <w:color w:val="000000"/>
                <w:sz w:val="20"/>
                <w:szCs w:val="20"/>
              </w:rPr>
              <w:t>Risk</w:t>
            </w:r>
          </w:p>
        </w:tc>
        <w:tc>
          <w:tcPr>
            <w:tcW w:w="1417" w:type="dxa"/>
            <w:tcBorders>
              <w:top w:val="nil"/>
              <w:left w:val="nil"/>
              <w:bottom w:val="nil"/>
              <w:right w:val="nil"/>
            </w:tcBorders>
            <w:shd w:val="clear" w:color="auto" w:fill="auto"/>
            <w:noWrap/>
            <w:vAlign w:val="center"/>
            <w:hideMark/>
          </w:tcPr>
          <w:p w14:paraId="25D37118" w14:textId="269CFB0A" w:rsidR="00775B48" w:rsidRPr="000C71D9" w:rsidRDefault="00775B48" w:rsidP="00400BAB">
            <w:pPr>
              <w:jc w:val="right"/>
              <w:rPr>
                <w:rFonts w:ascii="Arial" w:hAnsi="Arial" w:cs="Arial"/>
                <w:color w:val="000000"/>
                <w:sz w:val="20"/>
                <w:szCs w:val="20"/>
                <w:highlight w:val="yellow"/>
              </w:rPr>
            </w:pPr>
            <w:r>
              <w:rPr>
                <w:rFonts w:ascii="Arial" w:hAnsi="Arial" w:cs="Arial"/>
                <w:color w:val="000000"/>
                <w:sz w:val="20"/>
                <w:szCs w:val="20"/>
              </w:rPr>
              <w:t>Weighted</w:t>
            </w:r>
          </w:p>
        </w:tc>
      </w:tr>
      <w:tr w:rsidR="00775B48" w:rsidRPr="000C71D9" w14:paraId="0B178625" w14:textId="77777777" w:rsidTr="00522AFB">
        <w:trPr>
          <w:trHeight w:val="300"/>
        </w:trPr>
        <w:tc>
          <w:tcPr>
            <w:tcW w:w="3640" w:type="dxa"/>
            <w:tcBorders>
              <w:top w:val="nil"/>
              <w:left w:val="nil"/>
              <w:bottom w:val="nil"/>
              <w:right w:val="nil"/>
            </w:tcBorders>
            <w:shd w:val="clear" w:color="auto" w:fill="auto"/>
            <w:noWrap/>
            <w:vAlign w:val="center"/>
            <w:hideMark/>
          </w:tcPr>
          <w:p w14:paraId="7C86ED7B" w14:textId="6F5783F9" w:rsidR="00775B48" w:rsidRPr="000C71D9" w:rsidRDefault="00775B48" w:rsidP="00400BAB">
            <w:pPr>
              <w:rPr>
                <w:rFonts w:ascii="Arial" w:hAnsi="Arial" w:cs="Arial"/>
                <w:color w:val="000000"/>
                <w:sz w:val="20"/>
                <w:szCs w:val="20"/>
                <w:highlight w:val="yellow"/>
              </w:rPr>
            </w:pPr>
            <w:r>
              <w:rPr>
                <w:rFonts w:ascii="Arial" w:hAnsi="Arial" w:cs="Arial"/>
                <w:b/>
                <w:bCs/>
                <w:color w:val="000000"/>
                <w:sz w:val="20"/>
                <w:szCs w:val="20"/>
              </w:rPr>
              <w:t>Exposures</w:t>
            </w:r>
          </w:p>
        </w:tc>
        <w:tc>
          <w:tcPr>
            <w:tcW w:w="1501" w:type="dxa"/>
            <w:tcBorders>
              <w:top w:val="nil"/>
              <w:left w:val="nil"/>
              <w:bottom w:val="nil"/>
              <w:right w:val="nil"/>
            </w:tcBorders>
            <w:shd w:val="clear" w:color="auto" w:fill="auto"/>
            <w:noWrap/>
            <w:vAlign w:val="center"/>
            <w:hideMark/>
          </w:tcPr>
          <w:p w14:paraId="5F518855" w14:textId="0B6EE364" w:rsidR="00775B48" w:rsidRPr="000C71D9" w:rsidRDefault="00775B48" w:rsidP="00400BAB">
            <w:pPr>
              <w:jc w:val="right"/>
              <w:rPr>
                <w:sz w:val="20"/>
                <w:szCs w:val="20"/>
                <w:highlight w:val="yellow"/>
              </w:rPr>
            </w:pPr>
            <w:r>
              <w:rPr>
                <w:rFonts w:ascii="Arial" w:hAnsi="Arial" w:cs="Arial"/>
                <w:color w:val="000000"/>
                <w:sz w:val="20"/>
                <w:szCs w:val="20"/>
              </w:rPr>
              <w:t>Exposure</w:t>
            </w:r>
          </w:p>
        </w:tc>
        <w:tc>
          <w:tcPr>
            <w:tcW w:w="955" w:type="dxa"/>
            <w:tcBorders>
              <w:top w:val="nil"/>
              <w:left w:val="nil"/>
              <w:bottom w:val="nil"/>
              <w:right w:val="nil"/>
            </w:tcBorders>
            <w:shd w:val="clear" w:color="auto" w:fill="auto"/>
            <w:noWrap/>
            <w:vAlign w:val="center"/>
            <w:hideMark/>
          </w:tcPr>
          <w:p w14:paraId="55E8206F" w14:textId="475F618A" w:rsidR="00775B48" w:rsidRPr="000C71D9" w:rsidRDefault="00775B48" w:rsidP="00400BAB">
            <w:pPr>
              <w:jc w:val="right"/>
              <w:rPr>
                <w:rFonts w:ascii="Arial" w:hAnsi="Arial" w:cs="Arial"/>
                <w:color w:val="000000"/>
                <w:sz w:val="20"/>
                <w:szCs w:val="20"/>
                <w:highlight w:val="yellow"/>
              </w:rPr>
            </w:pPr>
            <w:r>
              <w:rPr>
                <w:rFonts w:ascii="Arial" w:hAnsi="Arial" w:cs="Arial"/>
                <w:color w:val="000000"/>
                <w:sz w:val="20"/>
                <w:szCs w:val="20"/>
              </w:rPr>
              <w:t>Weight</w:t>
            </w:r>
          </w:p>
        </w:tc>
        <w:tc>
          <w:tcPr>
            <w:tcW w:w="1417" w:type="dxa"/>
            <w:tcBorders>
              <w:top w:val="nil"/>
              <w:left w:val="nil"/>
              <w:bottom w:val="nil"/>
              <w:right w:val="nil"/>
            </w:tcBorders>
            <w:shd w:val="clear" w:color="auto" w:fill="auto"/>
            <w:noWrap/>
            <w:vAlign w:val="center"/>
            <w:hideMark/>
          </w:tcPr>
          <w:p w14:paraId="45313052" w14:textId="437D1B0B" w:rsidR="00775B48" w:rsidRPr="000C71D9" w:rsidRDefault="00775B48" w:rsidP="00400BAB">
            <w:pPr>
              <w:jc w:val="right"/>
              <w:rPr>
                <w:rFonts w:ascii="Arial" w:hAnsi="Arial" w:cs="Arial"/>
                <w:color w:val="000000"/>
                <w:sz w:val="20"/>
                <w:szCs w:val="20"/>
                <w:highlight w:val="yellow"/>
              </w:rPr>
            </w:pPr>
            <w:r>
              <w:rPr>
                <w:rFonts w:ascii="Arial" w:hAnsi="Arial" w:cs="Arial"/>
                <w:color w:val="000000"/>
                <w:sz w:val="20"/>
                <w:szCs w:val="20"/>
              </w:rPr>
              <w:t>Exposures</w:t>
            </w:r>
          </w:p>
        </w:tc>
      </w:tr>
      <w:tr w:rsidR="00775B48" w:rsidRPr="000C71D9" w14:paraId="4320D1E5" w14:textId="77777777" w:rsidTr="00522AFB">
        <w:trPr>
          <w:trHeight w:val="300"/>
        </w:trPr>
        <w:tc>
          <w:tcPr>
            <w:tcW w:w="3640" w:type="dxa"/>
            <w:tcBorders>
              <w:top w:val="nil"/>
              <w:left w:val="nil"/>
              <w:bottom w:val="nil"/>
              <w:right w:val="nil"/>
            </w:tcBorders>
            <w:shd w:val="clear" w:color="auto" w:fill="auto"/>
            <w:noWrap/>
            <w:vAlign w:val="center"/>
            <w:hideMark/>
          </w:tcPr>
          <w:p w14:paraId="2081F071" w14:textId="31835189" w:rsidR="00775B48" w:rsidRPr="000C71D9" w:rsidRDefault="00775B48" w:rsidP="00400BAB">
            <w:pPr>
              <w:rPr>
                <w:rFonts w:ascii="Arial" w:hAnsi="Arial" w:cs="Arial"/>
                <w:b/>
                <w:bCs/>
                <w:color w:val="000000"/>
                <w:sz w:val="20"/>
                <w:szCs w:val="20"/>
                <w:highlight w:val="yellow"/>
              </w:rPr>
            </w:pPr>
          </w:p>
        </w:tc>
        <w:tc>
          <w:tcPr>
            <w:tcW w:w="1501" w:type="dxa"/>
            <w:tcBorders>
              <w:top w:val="nil"/>
              <w:left w:val="nil"/>
              <w:bottom w:val="nil"/>
              <w:right w:val="nil"/>
            </w:tcBorders>
            <w:shd w:val="clear" w:color="auto" w:fill="auto"/>
            <w:noWrap/>
            <w:vAlign w:val="center"/>
            <w:hideMark/>
          </w:tcPr>
          <w:p w14:paraId="33F1DEF7" w14:textId="15DBB4C3" w:rsidR="00775B48" w:rsidRPr="000C71D9" w:rsidRDefault="00775B48" w:rsidP="00400BAB">
            <w:pPr>
              <w:jc w:val="right"/>
              <w:rPr>
                <w:rFonts w:ascii="Arial" w:hAnsi="Arial" w:cs="Arial"/>
                <w:color w:val="000000"/>
                <w:sz w:val="20"/>
                <w:szCs w:val="20"/>
                <w:highlight w:val="yellow"/>
              </w:rPr>
            </w:pPr>
          </w:p>
        </w:tc>
        <w:tc>
          <w:tcPr>
            <w:tcW w:w="955" w:type="dxa"/>
            <w:tcBorders>
              <w:top w:val="nil"/>
              <w:left w:val="nil"/>
              <w:bottom w:val="nil"/>
              <w:right w:val="nil"/>
            </w:tcBorders>
            <w:shd w:val="clear" w:color="auto" w:fill="auto"/>
            <w:noWrap/>
            <w:vAlign w:val="center"/>
            <w:hideMark/>
          </w:tcPr>
          <w:p w14:paraId="6103813F" w14:textId="28B254F6" w:rsidR="00775B48" w:rsidRPr="000C71D9" w:rsidRDefault="00775B48" w:rsidP="00400BAB">
            <w:pPr>
              <w:jc w:val="right"/>
              <w:rPr>
                <w:rFonts w:ascii="Arial" w:hAnsi="Arial" w:cs="Arial"/>
                <w:color w:val="000000"/>
                <w:sz w:val="20"/>
                <w:szCs w:val="20"/>
                <w:highlight w:val="yellow"/>
              </w:rPr>
            </w:pPr>
          </w:p>
        </w:tc>
        <w:tc>
          <w:tcPr>
            <w:tcW w:w="1417" w:type="dxa"/>
            <w:tcBorders>
              <w:top w:val="nil"/>
              <w:left w:val="nil"/>
              <w:bottom w:val="nil"/>
              <w:right w:val="nil"/>
            </w:tcBorders>
            <w:shd w:val="clear" w:color="auto" w:fill="auto"/>
            <w:noWrap/>
            <w:vAlign w:val="center"/>
            <w:hideMark/>
          </w:tcPr>
          <w:p w14:paraId="5E822DB8" w14:textId="5C723D14" w:rsidR="00775B48" w:rsidRPr="000C71D9" w:rsidRDefault="00775B48" w:rsidP="00400BAB">
            <w:pPr>
              <w:jc w:val="right"/>
              <w:rPr>
                <w:rFonts w:ascii="Arial" w:hAnsi="Arial" w:cs="Arial"/>
                <w:color w:val="000000"/>
                <w:sz w:val="20"/>
                <w:szCs w:val="20"/>
                <w:highlight w:val="yellow"/>
              </w:rPr>
            </w:pPr>
          </w:p>
        </w:tc>
      </w:tr>
      <w:tr w:rsidR="00775B48" w:rsidRPr="000C71D9" w14:paraId="78EE15EA" w14:textId="77777777" w:rsidTr="00522AFB">
        <w:trPr>
          <w:trHeight w:val="300"/>
        </w:trPr>
        <w:tc>
          <w:tcPr>
            <w:tcW w:w="3640" w:type="dxa"/>
            <w:tcBorders>
              <w:top w:val="nil"/>
              <w:left w:val="nil"/>
              <w:bottom w:val="nil"/>
              <w:right w:val="nil"/>
            </w:tcBorders>
            <w:shd w:val="clear" w:color="auto" w:fill="auto"/>
            <w:noWrap/>
            <w:vAlign w:val="center"/>
            <w:hideMark/>
          </w:tcPr>
          <w:p w14:paraId="5D21272A" w14:textId="259E0EB2" w:rsidR="00775B48" w:rsidRPr="00400BAB" w:rsidRDefault="00775B48" w:rsidP="00400BAB">
            <w:pPr>
              <w:rPr>
                <w:rFonts w:ascii="Arial" w:hAnsi="Arial" w:cs="Arial"/>
                <w:sz w:val="20"/>
                <w:szCs w:val="20"/>
                <w:highlight w:val="yellow"/>
              </w:rPr>
            </w:pPr>
            <w:r w:rsidRPr="00400BAB">
              <w:rPr>
                <w:rFonts w:ascii="Arial" w:hAnsi="Arial" w:cs="Arial"/>
                <w:sz w:val="20"/>
                <w:szCs w:val="20"/>
              </w:rPr>
              <w:t>NZ Registered Bank Deposits</w:t>
            </w:r>
          </w:p>
        </w:tc>
        <w:tc>
          <w:tcPr>
            <w:tcW w:w="1501" w:type="dxa"/>
            <w:tcBorders>
              <w:top w:val="nil"/>
              <w:left w:val="nil"/>
              <w:bottom w:val="nil"/>
              <w:right w:val="nil"/>
            </w:tcBorders>
            <w:shd w:val="clear" w:color="auto" w:fill="auto"/>
            <w:noWrap/>
            <w:vAlign w:val="center"/>
            <w:hideMark/>
          </w:tcPr>
          <w:p w14:paraId="5BE86274" w14:textId="3BA681C1" w:rsidR="00775B48" w:rsidRPr="00400BAB" w:rsidRDefault="00775B48" w:rsidP="00400BAB">
            <w:pPr>
              <w:jc w:val="right"/>
              <w:rPr>
                <w:sz w:val="20"/>
                <w:szCs w:val="20"/>
                <w:highlight w:val="yellow"/>
              </w:rPr>
            </w:pPr>
            <w:r w:rsidRPr="00400BAB">
              <w:rPr>
                <w:rFonts w:ascii="Arial" w:hAnsi="Arial" w:cs="Arial"/>
                <w:sz w:val="20"/>
                <w:szCs w:val="20"/>
              </w:rPr>
              <w:t xml:space="preserve">     18,368,303 </w:t>
            </w:r>
          </w:p>
        </w:tc>
        <w:tc>
          <w:tcPr>
            <w:tcW w:w="955" w:type="dxa"/>
            <w:tcBorders>
              <w:top w:val="nil"/>
              <w:left w:val="nil"/>
              <w:bottom w:val="nil"/>
              <w:right w:val="nil"/>
            </w:tcBorders>
            <w:shd w:val="clear" w:color="auto" w:fill="auto"/>
            <w:noWrap/>
            <w:vAlign w:val="center"/>
            <w:hideMark/>
          </w:tcPr>
          <w:p w14:paraId="7D15E111" w14:textId="7DCCA0B3" w:rsidR="00775B48" w:rsidRPr="00400BAB" w:rsidRDefault="00775B48" w:rsidP="00400BAB">
            <w:pPr>
              <w:jc w:val="right"/>
              <w:rPr>
                <w:sz w:val="20"/>
                <w:szCs w:val="20"/>
                <w:highlight w:val="yellow"/>
              </w:rPr>
            </w:pPr>
            <w:r w:rsidRPr="00400BAB">
              <w:rPr>
                <w:rFonts w:ascii="Arial" w:hAnsi="Arial" w:cs="Arial"/>
                <w:sz w:val="20"/>
                <w:szCs w:val="20"/>
              </w:rPr>
              <w:t>20%</w:t>
            </w:r>
          </w:p>
        </w:tc>
        <w:tc>
          <w:tcPr>
            <w:tcW w:w="1417" w:type="dxa"/>
            <w:tcBorders>
              <w:top w:val="nil"/>
              <w:left w:val="nil"/>
              <w:bottom w:val="nil"/>
              <w:right w:val="nil"/>
            </w:tcBorders>
            <w:shd w:val="clear" w:color="auto" w:fill="auto"/>
            <w:noWrap/>
            <w:vAlign w:val="center"/>
            <w:hideMark/>
          </w:tcPr>
          <w:p w14:paraId="4B683CB7" w14:textId="2E3E0032" w:rsidR="00775B48" w:rsidRPr="000C71D9" w:rsidRDefault="00775B48" w:rsidP="00400BAB">
            <w:pPr>
              <w:jc w:val="right"/>
              <w:rPr>
                <w:sz w:val="20"/>
                <w:szCs w:val="20"/>
                <w:highlight w:val="yellow"/>
              </w:rPr>
            </w:pPr>
            <w:r>
              <w:rPr>
                <w:rFonts w:ascii="Arial" w:hAnsi="Arial" w:cs="Arial"/>
                <w:color w:val="000000"/>
                <w:sz w:val="20"/>
                <w:szCs w:val="20"/>
              </w:rPr>
              <w:t xml:space="preserve">    3,673,661 </w:t>
            </w:r>
          </w:p>
        </w:tc>
      </w:tr>
      <w:tr w:rsidR="00775B48" w:rsidRPr="000C71D9" w14:paraId="06BE0E94" w14:textId="77777777" w:rsidTr="00522AFB">
        <w:trPr>
          <w:trHeight w:val="300"/>
        </w:trPr>
        <w:tc>
          <w:tcPr>
            <w:tcW w:w="3640" w:type="dxa"/>
            <w:tcBorders>
              <w:top w:val="nil"/>
              <w:left w:val="nil"/>
              <w:bottom w:val="nil"/>
              <w:right w:val="nil"/>
            </w:tcBorders>
            <w:shd w:val="clear" w:color="auto" w:fill="auto"/>
            <w:noWrap/>
            <w:vAlign w:val="center"/>
            <w:hideMark/>
          </w:tcPr>
          <w:p w14:paraId="60CB9F40" w14:textId="06A5A449" w:rsidR="00775B48" w:rsidRPr="00400BAB" w:rsidRDefault="00775B48" w:rsidP="00400BAB">
            <w:pPr>
              <w:rPr>
                <w:rFonts w:ascii="Arial" w:hAnsi="Arial" w:cs="Arial"/>
                <w:sz w:val="20"/>
                <w:szCs w:val="20"/>
                <w:highlight w:val="yellow"/>
              </w:rPr>
            </w:pPr>
            <w:r w:rsidRPr="00400BAB">
              <w:rPr>
                <w:rFonts w:ascii="Arial" w:hAnsi="Arial" w:cs="Arial"/>
                <w:sz w:val="20"/>
                <w:szCs w:val="20"/>
              </w:rPr>
              <w:t>Residential mortgages:</w:t>
            </w:r>
          </w:p>
        </w:tc>
        <w:tc>
          <w:tcPr>
            <w:tcW w:w="1501" w:type="dxa"/>
            <w:tcBorders>
              <w:top w:val="nil"/>
              <w:left w:val="nil"/>
              <w:bottom w:val="nil"/>
              <w:right w:val="nil"/>
            </w:tcBorders>
            <w:shd w:val="clear" w:color="auto" w:fill="auto"/>
            <w:noWrap/>
            <w:vAlign w:val="center"/>
            <w:hideMark/>
          </w:tcPr>
          <w:p w14:paraId="7EA95428" w14:textId="1B9C46D5" w:rsidR="00775B48" w:rsidRPr="00400BAB" w:rsidRDefault="00775B48" w:rsidP="00400BAB">
            <w:pPr>
              <w:jc w:val="right"/>
              <w:rPr>
                <w:rFonts w:ascii="Arial" w:hAnsi="Arial" w:cs="Arial"/>
                <w:sz w:val="20"/>
                <w:szCs w:val="20"/>
                <w:highlight w:val="yellow"/>
              </w:rPr>
            </w:pPr>
          </w:p>
        </w:tc>
        <w:tc>
          <w:tcPr>
            <w:tcW w:w="955" w:type="dxa"/>
            <w:tcBorders>
              <w:top w:val="nil"/>
              <w:left w:val="nil"/>
              <w:bottom w:val="nil"/>
              <w:right w:val="nil"/>
            </w:tcBorders>
            <w:shd w:val="clear" w:color="auto" w:fill="auto"/>
            <w:noWrap/>
            <w:vAlign w:val="center"/>
            <w:hideMark/>
          </w:tcPr>
          <w:p w14:paraId="410E70AD" w14:textId="555629B3" w:rsidR="00775B48" w:rsidRPr="00400BAB" w:rsidRDefault="00775B48" w:rsidP="00400BAB">
            <w:pPr>
              <w:jc w:val="right"/>
              <w:rPr>
                <w:rFonts w:ascii="Arial" w:hAnsi="Arial" w:cs="Arial"/>
                <w:sz w:val="20"/>
                <w:szCs w:val="20"/>
                <w:highlight w:val="yellow"/>
              </w:rPr>
            </w:pPr>
          </w:p>
        </w:tc>
        <w:tc>
          <w:tcPr>
            <w:tcW w:w="1417" w:type="dxa"/>
            <w:tcBorders>
              <w:top w:val="nil"/>
              <w:left w:val="nil"/>
              <w:bottom w:val="nil"/>
              <w:right w:val="nil"/>
            </w:tcBorders>
            <w:shd w:val="clear" w:color="auto" w:fill="auto"/>
            <w:noWrap/>
            <w:vAlign w:val="center"/>
            <w:hideMark/>
          </w:tcPr>
          <w:p w14:paraId="62057749" w14:textId="658AAD70" w:rsidR="00775B48" w:rsidRPr="000C71D9" w:rsidRDefault="00775B48" w:rsidP="00400BAB">
            <w:pPr>
              <w:jc w:val="right"/>
              <w:rPr>
                <w:rFonts w:ascii="Arial" w:hAnsi="Arial" w:cs="Arial"/>
                <w:color w:val="000000"/>
                <w:sz w:val="20"/>
                <w:szCs w:val="20"/>
                <w:highlight w:val="yellow"/>
              </w:rPr>
            </w:pPr>
          </w:p>
        </w:tc>
      </w:tr>
      <w:tr w:rsidR="00775B48" w:rsidRPr="000C71D9" w14:paraId="70E0A0AB" w14:textId="77777777" w:rsidTr="00522AFB">
        <w:trPr>
          <w:trHeight w:val="300"/>
        </w:trPr>
        <w:tc>
          <w:tcPr>
            <w:tcW w:w="3640" w:type="dxa"/>
            <w:tcBorders>
              <w:top w:val="nil"/>
              <w:left w:val="nil"/>
              <w:bottom w:val="nil"/>
              <w:right w:val="nil"/>
            </w:tcBorders>
            <w:shd w:val="clear" w:color="auto" w:fill="auto"/>
            <w:noWrap/>
            <w:vAlign w:val="center"/>
            <w:hideMark/>
          </w:tcPr>
          <w:p w14:paraId="4441FC30" w14:textId="0D2C31F2" w:rsidR="00775B48" w:rsidRPr="00400BAB" w:rsidRDefault="00775B48" w:rsidP="00400BAB">
            <w:pPr>
              <w:rPr>
                <w:rFonts w:ascii="Arial" w:hAnsi="Arial" w:cs="Arial"/>
                <w:sz w:val="20"/>
                <w:szCs w:val="20"/>
                <w:highlight w:val="yellow"/>
              </w:rPr>
            </w:pPr>
            <w:r w:rsidRPr="00400BAB">
              <w:rPr>
                <w:rFonts w:ascii="Arial" w:hAnsi="Arial" w:cs="Arial"/>
                <w:sz w:val="20"/>
                <w:szCs w:val="20"/>
              </w:rPr>
              <w:t xml:space="preserve">  LVR 70% and under</w:t>
            </w:r>
          </w:p>
        </w:tc>
        <w:tc>
          <w:tcPr>
            <w:tcW w:w="1501" w:type="dxa"/>
            <w:tcBorders>
              <w:top w:val="nil"/>
              <w:left w:val="nil"/>
              <w:bottom w:val="nil"/>
              <w:right w:val="nil"/>
            </w:tcBorders>
            <w:shd w:val="clear" w:color="auto" w:fill="auto"/>
            <w:noWrap/>
            <w:vAlign w:val="center"/>
            <w:hideMark/>
          </w:tcPr>
          <w:p w14:paraId="32748EA9" w14:textId="491B4EBB" w:rsidR="00775B48" w:rsidRPr="00400BAB" w:rsidRDefault="00775B48" w:rsidP="00400BAB">
            <w:pPr>
              <w:jc w:val="right"/>
              <w:rPr>
                <w:rFonts w:ascii="Arial" w:hAnsi="Arial" w:cs="Arial"/>
                <w:sz w:val="20"/>
                <w:szCs w:val="20"/>
                <w:highlight w:val="yellow"/>
              </w:rPr>
            </w:pPr>
            <w:r w:rsidRPr="00400BAB">
              <w:rPr>
                <w:rFonts w:ascii="Arial" w:hAnsi="Arial" w:cs="Arial"/>
                <w:sz w:val="20"/>
                <w:szCs w:val="20"/>
              </w:rPr>
              <w:t xml:space="preserve">     91,396,891 </w:t>
            </w:r>
          </w:p>
        </w:tc>
        <w:tc>
          <w:tcPr>
            <w:tcW w:w="955" w:type="dxa"/>
            <w:tcBorders>
              <w:top w:val="nil"/>
              <w:left w:val="nil"/>
              <w:bottom w:val="nil"/>
              <w:right w:val="nil"/>
            </w:tcBorders>
            <w:shd w:val="clear" w:color="auto" w:fill="auto"/>
            <w:noWrap/>
            <w:vAlign w:val="center"/>
            <w:hideMark/>
          </w:tcPr>
          <w:p w14:paraId="3C91BF56" w14:textId="4B0CBFA3" w:rsidR="00775B48" w:rsidRPr="00400BAB" w:rsidRDefault="00775B48" w:rsidP="00400BAB">
            <w:pPr>
              <w:jc w:val="right"/>
              <w:rPr>
                <w:rFonts w:ascii="Arial" w:hAnsi="Arial" w:cs="Arial"/>
                <w:sz w:val="20"/>
                <w:szCs w:val="20"/>
                <w:highlight w:val="yellow"/>
              </w:rPr>
            </w:pPr>
            <w:r w:rsidRPr="00400BAB">
              <w:rPr>
                <w:rFonts w:ascii="Arial" w:hAnsi="Arial" w:cs="Arial"/>
                <w:sz w:val="20"/>
                <w:szCs w:val="20"/>
              </w:rPr>
              <w:t>35%</w:t>
            </w:r>
          </w:p>
        </w:tc>
        <w:tc>
          <w:tcPr>
            <w:tcW w:w="1417" w:type="dxa"/>
            <w:tcBorders>
              <w:top w:val="nil"/>
              <w:left w:val="nil"/>
              <w:bottom w:val="nil"/>
              <w:right w:val="nil"/>
            </w:tcBorders>
            <w:shd w:val="clear" w:color="auto" w:fill="auto"/>
            <w:noWrap/>
            <w:vAlign w:val="center"/>
            <w:hideMark/>
          </w:tcPr>
          <w:p w14:paraId="3E662D32" w14:textId="564876D8" w:rsidR="00775B48" w:rsidRPr="000C71D9" w:rsidRDefault="00775B48" w:rsidP="00400BAB">
            <w:pPr>
              <w:jc w:val="right"/>
              <w:rPr>
                <w:rFonts w:ascii="Arial" w:hAnsi="Arial" w:cs="Arial"/>
                <w:color w:val="000000"/>
                <w:sz w:val="20"/>
                <w:szCs w:val="20"/>
                <w:highlight w:val="yellow"/>
              </w:rPr>
            </w:pPr>
            <w:r>
              <w:rPr>
                <w:rFonts w:ascii="Arial" w:hAnsi="Arial" w:cs="Arial"/>
                <w:color w:val="000000"/>
                <w:sz w:val="20"/>
                <w:szCs w:val="20"/>
              </w:rPr>
              <w:t xml:space="preserve">   31,988,912 </w:t>
            </w:r>
          </w:p>
        </w:tc>
      </w:tr>
      <w:tr w:rsidR="00775B48" w:rsidRPr="000C71D9" w14:paraId="29BDB8D5" w14:textId="77777777" w:rsidTr="00522AFB">
        <w:trPr>
          <w:trHeight w:val="300"/>
        </w:trPr>
        <w:tc>
          <w:tcPr>
            <w:tcW w:w="3640" w:type="dxa"/>
            <w:tcBorders>
              <w:top w:val="nil"/>
              <w:left w:val="nil"/>
              <w:bottom w:val="nil"/>
              <w:right w:val="nil"/>
            </w:tcBorders>
            <w:shd w:val="clear" w:color="auto" w:fill="auto"/>
            <w:noWrap/>
            <w:vAlign w:val="center"/>
            <w:hideMark/>
          </w:tcPr>
          <w:p w14:paraId="36BACFE0" w14:textId="1CEDD334" w:rsidR="00775B48" w:rsidRPr="00400BAB" w:rsidRDefault="00775B48" w:rsidP="00400BAB">
            <w:pPr>
              <w:rPr>
                <w:rFonts w:ascii="Arial" w:hAnsi="Arial" w:cs="Arial"/>
                <w:sz w:val="20"/>
                <w:szCs w:val="20"/>
                <w:highlight w:val="yellow"/>
              </w:rPr>
            </w:pPr>
            <w:r w:rsidRPr="00400BAB">
              <w:rPr>
                <w:rFonts w:ascii="Arial" w:hAnsi="Arial" w:cs="Arial"/>
                <w:sz w:val="20"/>
                <w:szCs w:val="20"/>
              </w:rPr>
              <w:t>Property development loans:</w:t>
            </w:r>
          </w:p>
        </w:tc>
        <w:tc>
          <w:tcPr>
            <w:tcW w:w="1501" w:type="dxa"/>
            <w:tcBorders>
              <w:top w:val="nil"/>
              <w:left w:val="nil"/>
              <w:bottom w:val="nil"/>
              <w:right w:val="nil"/>
            </w:tcBorders>
            <w:shd w:val="clear" w:color="auto" w:fill="auto"/>
            <w:noWrap/>
            <w:vAlign w:val="center"/>
            <w:hideMark/>
          </w:tcPr>
          <w:p w14:paraId="37C5979F" w14:textId="6ACC37CC" w:rsidR="00775B48" w:rsidRPr="00400BAB" w:rsidRDefault="00775B48" w:rsidP="00400BAB">
            <w:pPr>
              <w:jc w:val="right"/>
              <w:rPr>
                <w:rFonts w:ascii="Arial" w:hAnsi="Arial" w:cs="Arial"/>
                <w:sz w:val="20"/>
                <w:szCs w:val="20"/>
                <w:highlight w:val="yellow"/>
              </w:rPr>
            </w:pPr>
          </w:p>
        </w:tc>
        <w:tc>
          <w:tcPr>
            <w:tcW w:w="955" w:type="dxa"/>
            <w:tcBorders>
              <w:top w:val="nil"/>
              <w:left w:val="nil"/>
              <w:bottom w:val="nil"/>
              <w:right w:val="nil"/>
            </w:tcBorders>
            <w:shd w:val="clear" w:color="auto" w:fill="auto"/>
            <w:noWrap/>
            <w:vAlign w:val="center"/>
            <w:hideMark/>
          </w:tcPr>
          <w:p w14:paraId="32568109" w14:textId="37857902" w:rsidR="00775B48" w:rsidRPr="00400BAB" w:rsidRDefault="00775B48" w:rsidP="00400BAB">
            <w:pPr>
              <w:jc w:val="right"/>
              <w:rPr>
                <w:rFonts w:ascii="Arial" w:hAnsi="Arial" w:cs="Arial"/>
                <w:sz w:val="20"/>
                <w:szCs w:val="20"/>
                <w:highlight w:val="yellow"/>
              </w:rPr>
            </w:pPr>
          </w:p>
        </w:tc>
        <w:tc>
          <w:tcPr>
            <w:tcW w:w="1417" w:type="dxa"/>
            <w:tcBorders>
              <w:top w:val="nil"/>
              <w:left w:val="nil"/>
              <w:bottom w:val="nil"/>
              <w:right w:val="nil"/>
            </w:tcBorders>
            <w:shd w:val="clear" w:color="auto" w:fill="auto"/>
            <w:noWrap/>
            <w:vAlign w:val="center"/>
            <w:hideMark/>
          </w:tcPr>
          <w:p w14:paraId="3BA0FAAE" w14:textId="16800AC9" w:rsidR="00775B48" w:rsidRPr="000C71D9" w:rsidRDefault="00775B48" w:rsidP="00400BAB">
            <w:pPr>
              <w:jc w:val="right"/>
              <w:rPr>
                <w:rFonts w:ascii="Arial" w:hAnsi="Arial" w:cs="Arial"/>
                <w:color w:val="000000"/>
                <w:sz w:val="20"/>
                <w:szCs w:val="20"/>
                <w:highlight w:val="yellow"/>
              </w:rPr>
            </w:pPr>
          </w:p>
        </w:tc>
      </w:tr>
      <w:tr w:rsidR="00775B48" w:rsidRPr="000C71D9" w14:paraId="658E8296" w14:textId="77777777" w:rsidTr="00522AFB">
        <w:trPr>
          <w:trHeight w:val="300"/>
        </w:trPr>
        <w:tc>
          <w:tcPr>
            <w:tcW w:w="3640" w:type="dxa"/>
            <w:tcBorders>
              <w:top w:val="nil"/>
              <w:left w:val="nil"/>
              <w:bottom w:val="nil"/>
              <w:right w:val="nil"/>
            </w:tcBorders>
            <w:shd w:val="clear" w:color="auto" w:fill="auto"/>
            <w:noWrap/>
            <w:vAlign w:val="center"/>
            <w:hideMark/>
          </w:tcPr>
          <w:p w14:paraId="6E689220" w14:textId="665C8178" w:rsidR="00775B48" w:rsidRPr="00400BAB" w:rsidRDefault="00400BAB" w:rsidP="00400BAB">
            <w:pPr>
              <w:rPr>
                <w:rFonts w:ascii="Arial" w:hAnsi="Arial" w:cs="Arial"/>
                <w:sz w:val="20"/>
                <w:szCs w:val="20"/>
                <w:highlight w:val="yellow"/>
              </w:rPr>
            </w:pPr>
            <w:r w:rsidRPr="00400BAB">
              <w:rPr>
                <w:rFonts w:ascii="Arial" w:hAnsi="Arial" w:cs="Arial"/>
                <w:sz w:val="20"/>
                <w:szCs w:val="20"/>
              </w:rPr>
              <w:t xml:space="preserve">  </w:t>
            </w:r>
            <w:r w:rsidR="00775B48" w:rsidRPr="00400BAB">
              <w:rPr>
                <w:rFonts w:ascii="Arial" w:hAnsi="Arial" w:cs="Arial"/>
                <w:sz w:val="20"/>
                <w:szCs w:val="20"/>
              </w:rPr>
              <w:t>LVR over 60% and under 100%</w:t>
            </w:r>
          </w:p>
        </w:tc>
        <w:tc>
          <w:tcPr>
            <w:tcW w:w="1501" w:type="dxa"/>
            <w:tcBorders>
              <w:top w:val="nil"/>
              <w:left w:val="nil"/>
              <w:bottom w:val="nil"/>
              <w:right w:val="nil"/>
            </w:tcBorders>
            <w:shd w:val="clear" w:color="auto" w:fill="auto"/>
            <w:noWrap/>
            <w:vAlign w:val="center"/>
            <w:hideMark/>
          </w:tcPr>
          <w:p w14:paraId="3CBAD228" w14:textId="0FE5B46D" w:rsidR="00775B48" w:rsidRPr="00400BAB" w:rsidRDefault="00775B48" w:rsidP="00400BAB">
            <w:pPr>
              <w:jc w:val="right"/>
              <w:rPr>
                <w:rFonts w:ascii="Arial" w:hAnsi="Arial" w:cs="Arial"/>
                <w:sz w:val="20"/>
                <w:szCs w:val="20"/>
                <w:highlight w:val="yellow"/>
              </w:rPr>
            </w:pPr>
            <w:r w:rsidRPr="00400BAB">
              <w:rPr>
                <w:rFonts w:ascii="Arial" w:hAnsi="Arial" w:cs="Arial"/>
                <w:sz w:val="20"/>
                <w:szCs w:val="20"/>
              </w:rPr>
              <w:t xml:space="preserve">       2,102,061 </w:t>
            </w:r>
          </w:p>
        </w:tc>
        <w:tc>
          <w:tcPr>
            <w:tcW w:w="955" w:type="dxa"/>
            <w:tcBorders>
              <w:top w:val="nil"/>
              <w:left w:val="nil"/>
              <w:bottom w:val="nil"/>
              <w:right w:val="nil"/>
            </w:tcBorders>
            <w:shd w:val="clear" w:color="auto" w:fill="auto"/>
            <w:noWrap/>
            <w:vAlign w:val="center"/>
            <w:hideMark/>
          </w:tcPr>
          <w:p w14:paraId="661D1E2C" w14:textId="20EB46AE" w:rsidR="00775B48" w:rsidRPr="00400BAB" w:rsidRDefault="00775B48" w:rsidP="00400BAB">
            <w:pPr>
              <w:jc w:val="right"/>
              <w:rPr>
                <w:rFonts w:ascii="Arial" w:hAnsi="Arial" w:cs="Arial"/>
                <w:sz w:val="20"/>
                <w:szCs w:val="20"/>
                <w:highlight w:val="yellow"/>
              </w:rPr>
            </w:pPr>
            <w:r w:rsidRPr="00400BAB">
              <w:rPr>
                <w:rFonts w:ascii="Arial" w:hAnsi="Arial" w:cs="Arial"/>
                <w:sz w:val="20"/>
                <w:szCs w:val="20"/>
              </w:rPr>
              <w:t>200%</w:t>
            </w:r>
          </w:p>
        </w:tc>
        <w:tc>
          <w:tcPr>
            <w:tcW w:w="1417" w:type="dxa"/>
            <w:tcBorders>
              <w:top w:val="nil"/>
              <w:left w:val="nil"/>
              <w:bottom w:val="nil"/>
              <w:right w:val="nil"/>
            </w:tcBorders>
            <w:shd w:val="clear" w:color="auto" w:fill="auto"/>
            <w:noWrap/>
            <w:vAlign w:val="center"/>
            <w:hideMark/>
          </w:tcPr>
          <w:p w14:paraId="061B6F6E" w14:textId="02506FDA" w:rsidR="00775B48" w:rsidRPr="000C71D9" w:rsidRDefault="00775B48" w:rsidP="00400BAB">
            <w:pPr>
              <w:jc w:val="right"/>
              <w:rPr>
                <w:rFonts w:ascii="Arial" w:hAnsi="Arial" w:cs="Arial"/>
                <w:color w:val="000000"/>
                <w:sz w:val="20"/>
                <w:szCs w:val="20"/>
                <w:highlight w:val="yellow"/>
              </w:rPr>
            </w:pPr>
            <w:r>
              <w:rPr>
                <w:rFonts w:ascii="Arial" w:hAnsi="Arial" w:cs="Arial"/>
                <w:color w:val="000000"/>
                <w:sz w:val="20"/>
                <w:szCs w:val="20"/>
              </w:rPr>
              <w:t xml:space="preserve">    4,204,121 </w:t>
            </w:r>
          </w:p>
        </w:tc>
      </w:tr>
      <w:tr w:rsidR="00775B48" w:rsidRPr="000C71D9" w14:paraId="33017C95" w14:textId="77777777" w:rsidTr="00522AFB">
        <w:trPr>
          <w:trHeight w:val="300"/>
        </w:trPr>
        <w:tc>
          <w:tcPr>
            <w:tcW w:w="3640" w:type="dxa"/>
            <w:tcBorders>
              <w:top w:val="nil"/>
              <w:left w:val="nil"/>
              <w:bottom w:val="nil"/>
              <w:right w:val="nil"/>
            </w:tcBorders>
            <w:shd w:val="clear" w:color="auto" w:fill="auto"/>
            <w:noWrap/>
            <w:vAlign w:val="center"/>
            <w:hideMark/>
          </w:tcPr>
          <w:p w14:paraId="2734941A" w14:textId="3887FDFD" w:rsidR="00775B48" w:rsidRPr="00400BAB" w:rsidRDefault="00775B48" w:rsidP="00400BAB">
            <w:pPr>
              <w:rPr>
                <w:rFonts w:ascii="Arial" w:hAnsi="Arial" w:cs="Arial"/>
                <w:sz w:val="20"/>
                <w:szCs w:val="20"/>
                <w:highlight w:val="yellow"/>
              </w:rPr>
            </w:pPr>
            <w:r w:rsidRPr="00400BAB">
              <w:rPr>
                <w:rFonts w:ascii="Arial" w:hAnsi="Arial" w:cs="Arial"/>
                <w:sz w:val="20"/>
                <w:szCs w:val="20"/>
              </w:rPr>
              <w:t>Other loans with qualifying security over land and buildings:</w:t>
            </w:r>
          </w:p>
        </w:tc>
        <w:tc>
          <w:tcPr>
            <w:tcW w:w="1501" w:type="dxa"/>
            <w:tcBorders>
              <w:top w:val="nil"/>
              <w:left w:val="nil"/>
              <w:bottom w:val="nil"/>
              <w:right w:val="nil"/>
            </w:tcBorders>
            <w:shd w:val="clear" w:color="auto" w:fill="auto"/>
            <w:noWrap/>
            <w:vAlign w:val="center"/>
            <w:hideMark/>
          </w:tcPr>
          <w:p w14:paraId="27227A98" w14:textId="5427B4EA" w:rsidR="00775B48" w:rsidRPr="00400BAB" w:rsidRDefault="00775B48" w:rsidP="00400BAB">
            <w:pPr>
              <w:jc w:val="right"/>
              <w:rPr>
                <w:rFonts w:ascii="Arial" w:hAnsi="Arial" w:cs="Arial"/>
                <w:sz w:val="20"/>
                <w:szCs w:val="20"/>
                <w:highlight w:val="yellow"/>
              </w:rPr>
            </w:pPr>
          </w:p>
        </w:tc>
        <w:tc>
          <w:tcPr>
            <w:tcW w:w="955" w:type="dxa"/>
            <w:tcBorders>
              <w:top w:val="nil"/>
              <w:left w:val="nil"/>
              <w:bottom w:val="nil"/>
              <w:right w:val="nil"/>
            </w:tcBorders>
            <w:shd w:val="clear" w:color="auto" w:fill="auto"/>
            <w:noWrap/>
            <w:vAlign w:val="center"/>
            <w:hideMark/>
          </w:tcPr>
          <w:p w14:paraId="70C5E831" w14:textId="12546554" w:rsidR="00775B48" w:rsidRPr="00400BAB" w:rsidRDefault="00775B48" w:rsidP="00400BAB">
            <w:pPr>
              <w:jc w:val="right"/>
              <w:rPr>
                <w:rFonts w:ascii="Arial" w:hAnsi="Arial" w:cs="Arial"/>
                <w:sz w:val="20"/>
                <w:szCs w:val="20"/>
                <w:highlight w:val="yellow"/>
              </w:rPr>
            </w:pPr>
          </w:p>
        </w:tc>
        <w:tc>
          <w:tcPr>
            <w:tcW w:w="1417" w:type="dxa"/>
            <w:tcBorders>
              <w:top w:val="nil"/>
              <w:left w:val="nil"/>
              <w:bottom w:val="nil"/>
              <w:right w:val="nil"/>
            </w:tcBorders>
            <w:shd w:val="clear" w:color="auto" w:fill="auto"/>
            <w:noWrap/>
            <w:vAlign w:val="center"/>
            <w:hideMark/>
          </w:tcPr>
          <w:p w14:paraId="73698ADF" w14:textId="4AC005B5" w:rsidR="00775B48" w:rsidRPr="000C71D9" w:rsidRDefault="00775B48" w:rsidP="00400BAB">
            <w:pPr>
              <w:jc w:val="right"/>
              <w:rPr>
                <w:rFonts w:ascii="Arial" w:hAnsi="Arial" w:cs="Arial"/>
                <w:color w:val="000000"/>
                <w:sz w:val="20"/>
                <w:szCs w:val="20"/>
                <w:highlight w:val="yellow"/>
              </w:rPr>
            </w:pPr>
          </w:p>
        </w:tc>
      </w:tr>
      <w:tr w:rsidR="00775B48" w:rsidRPr="000C71D9" w14:paraId="69D4E70F" w14:textId="77777777" w:rsidTr="00522AFB">
        <w:trPr>
          <w:trHeight w:val="300"/>
        </w:trPr>
        <w:tc>
          <w:tcPr>
            <w:tcW w:w="3640" w:type="dxa"/>
            <w:tcBorders>
              <w:top w:val="nil"/>
              <w:left w:val="nil"/>
              <w:bottom w:val="nil"/>
              <w:right w:val="nil"/>
            </w:tcBorders>
            <w:shd w:val="clear" w:color="auto" w:fill="auto"/>
            <w:noWrap/>
            <w:vAlign w:val="center"/>
            <w:hideMark/>
          </w:tcPr>
          <w:p w14:paraId="5B152570" w14:textId="15B54AAC" w:rsidR="00775B48" w:rsidRPr="00400BAB" w:rsidRDefault="00775B48" w:rsidP="00400BAB">
            <w:pPr>
              <w:rPr>
                <w:rFonts w:ascii="Arial" w:hAnsi="Arial" w:cs="Arial"/>
                <w:sz w:val="20"/>
                <w:szCs w:val="20"/>
                <w:highlight w:val="yellow"/>
              </w:rPr>
            </w:pPr>
            <w:r w:rsidRPr="00400BAB">
              <w:rPr>
                <w:rFonts w:ascii="Arial" w:hAnsi="Arial" w:cs="Arial"/>
                <w:sz w:val="20"/>
                <w:szCs w:val="20"/>
              </w:rPr>
              <w:t xml:space="preserve">  LVR 70% and under</w:t>
            </w:r>
          </w:p>
        </w:tc>
        <w:tc>
          <w:tcPr>
            <w:tcW w:w="1501" w:type="dxa"/>
            <w:tcBorders>
              <w:top w:val="nil"/>
              <w:left w:val="nil"/>
              <w:bottom w:val="nil"/>
              <w:right w:val="nil"/>
            </w:tcBorders>
            <w:shd w:val="clear" w:color="auto" w:fill="auto"/>
            <w:noWrap/>
            <w:vAlign w:val="center"/>
            <w:hideMark/>
          </w:tcPr>
          <w:p w14:paraId="554A1433" w14:textId="47A4B7D5" w:rsidR="00775B48" w:rsidRPr="00400BAB" w:rsidRDefault="00775B48" w:rsidP="00400BAB">
            <w:pPr>
              <w:jc w:val="right"/>
              <w:rPr>
                <w:rFonts w:ascii="Arial" w:hAnsi="Arial" w:cs="Arial"/>
                <w:sz w:val="20"/>
                <w:szCs w:val="20"/>
                <w:highlight w:val="yellow"/>
              </w:rPr>
            </w:pPr>
            <w:r w:rsidRPr="00400BAB">
              <w:rPr>
                <w:rFonts w:ascii="Arial" w:hAnsi="Arial" w:cs="Arial"/>
                <w:sz w:val="20"/>
                <w:szCs w:val="20"/>
              </w:rPr>
              <w:t xml:space="preserve">     15,335,353 </w:t>
            </w:r>
          </w:p>
        </w:tc>
        <w:tc>
          <w:tcPr>
            <w:tcW w:w="955" w:type="dxa"/>
            <w:tcBorders>
              <w:top w:val="nil"/>
              <w:left w:val="nil"/>
              <w:bottom w:val="nil"/>
              <w:right w:val="nil"/>
            </w:tcBorders>
            <w:shd w:val="clear" w:color="auto" w:fill="auto"/>
            <w:noWrap/>
            <w:vAlign w:val="center"/>
            <w:hideMark/>
          </w:tcPr>
          <w:p w14:paraId="15F5D28E" w14:textId="030E4124" w:rsidR="00775B48" w:rsidRPr="00400BAB" w:rsidRDefault="00775B48" w:rsidP="00400BAB">
            <w:pPr>
              <w:jc w:val="right"/>
              <w:rPr>
                <w:rFonts w:ascii="Arial" w:hAnsi="Arial" w:cs="Arial"/>
                <w:sz w:val="20"/>
                <w:szCs w:val="20"/>
                <w:highlight w:val="yellow"/>
              </w:rPr>
            </w:pPr>
            <w:r w:rsidRPr="00400BAB">
              <w:rPr>
                <w:rFonts w:ascii="Arial" w:hAnsi="Arial" w:cs="Arial"/>
                <w:sz w:val="20"/>
                <w:szCs w:val="20"/>
              </w:rPr>
              <w:t>100%</w:t>
            </w:r>
          </w:p>
        </w:tc>
        <w:tc>
          <w:tcPr>
            <w:tcW w:w="1417" w:type="dxa"/>
            <w:tcBorders>
              <w:top w:val="nil"/>
              <w:left w:val="nil"/>
              <w:bottom w:val="nil"/>
              <w:right w:val="nil"/>
            </w:tcBorders>
            <w:shd w:val="clear" w:color="auto" w:fill="auto"/>
            <w:noWrap/>
            <w:vAlign w:val="center"/>
            <w:hideMark/>
          </w:tcPr>
          <w:p w14:paraId="129B45E4" w14:textId="0CC04B43" w:rsidR="00775B48" w:rsidRPr="000C71D9" w:rsidRDefault="00775B48" w:rsidP="00400BAB">
            <w:pPr>
              <w:jc w:val="right"/>
              <w:rPr>
                <w:rFonts w:ascii="Arial" w:hAnsi="Arial" w:cs="Arial"/>
                <w:color w:val="000000"/>
                <w:sz w:val="20"/>
                <w:szCs w:val="20"/>
                <w:highlight w:val="yellow"/>
              </w:rPr>
            </w:pPr>
            <w:r>
              <w:rPr>
                <w:rFonts w:ascii="Arial" w:hAnsi="Arial" w:cs="Arial"/>
                <w:color w:val="000000"/>
                <w:sz w:val="20"/>
                <w:szCs w:val="20"/>
              </w:rPr>
              <w:t xml:space="preserve">   15,335,353 </w:t>
            </w:r>
          </w:p>
        </w:tc>
      </w:tr>
      <w:tr w:rsidR="00775B48" w:rsidRPr="000C71D9" w14:paraId="104E0883" w14:textId="77777777" w:rsidTr="00522AFB">
        <w:trPr>
          <w:trHeight w:val="300"/>
        </w:trPr>
        <w:tc>
          <w:tcPr>
            <w:tcW w:w="3640" w:type="dxa"/>
            <w:tcBorders>
              <w:top w:val="nil"/>
              <w:left w:val="nil"/>
              <w:bottom w:val="nil"/>
              <w:right w:val="nil"/>
            </w:tcBorders>
            <w:shd w:val="clear" w:color="auto" w:fill="auto"/>
            <w:noWrap/>
            <w:vAlign w:val="center"/>
            <w:hideMark/>
          </w:tcPr>
          <w:p w14:paraId="27B1233C" w14:textId="481401B0" w:rsidR="00775B48" w:rsidRPr="00400BAB" w:rsidRDefault="00775B48" w:rsidP="00400BAB">
            <w:pPr>
              <w:rPr>
                <w:rFonts w:ascii="Arial" w:hAnsi="Arial" w:cs="Arial"/>
                <w:sz w:val="20"/>
                <w:szCs w:val="20"/>
                <w:highlight w:val="yellow"/>
              </w:rPr>
            </w:pPr>
          </w:p>
        </w:tc>
        <w:tc>
          <w:tcPr>
            <w:tcW w:w="1501" w:type="dxa"/>
            <w:tcBorders>
              <w:top w:val="nil"/>
              <w:left w:val="nil"/>
              <w:bottom w:val="nil"/>
              <w:right w:val="nil"/>
            </w:tcBorders>
            <w:shd w:val="clear" w:color="auto" w:fill="auto"/>
            <w:noWrap/>
            <w:vAlign w:val="center"/>
            <w:hideMark/>
          </w:tcPr>
          <w:p w14:paraId="51A18724" w14:textId="42918731" w:rsidR="00775B48" w:rsidRPr="00400BAB" w:rsidRDefault="00775B48" w:rsidP="00400BAB">
            <w:pPr>
              <w:jc w:val="right"/>
              <w:rPr>
                <w:rFonts w:ascii="Arial" w:hAnsi="Arial" w:cs="Arial"/>
                <w:sz w:val="20"/>
                <w:szCs w:val="20"/>
                <w:highlight w:val="yellow"/>
              </w:rPr>
            </w:pPr>
          </w:p>
        </w:tc>
        <w:tc>
          <w:tcPr>
            <w:tcW w:w="955" w:type="dxa"/>
            <w:tcBorders>
              <w:top w:val="nil"/>
              <w:left w:val="nil"/>
              <w:bottom w:val="nil"/>
              <w:right w:val="nil"/>
            </w:tcBorders>
            <w:shd w:val="clear" w:color="auto" w:fill="auto"/>
            <w:noWrap/>
            <w:vAlign w:val="center"/>
            <w:hideMark/>
          </w:tcPr>
          <w:p w14:paraId="3CCA61D2" w14:textId="63FC3CDD" w:rsidR="00775B48" w:rsidRPr="00400BAB" w:rsidRDefault="00775B48" w:rsidP="00400BAB">
            <w:pPr>
              <w:jc w:val="right"/>
              <w:rPr>
                <w:rFonts w:ascii="Arial" w:hAnsi="Arial" w:cs="Arial"/>
                <w:sz w:val="20"/>
                <w:szCs w:val="20"/>
                <w:highlight w:val="yellow"/>
              </w:rPr>
            </w:pPr>
          </w:p>
        </w:tc>
        <w:tc>
          <w:tcPr>
            <w:tcW w:w="1417" w:type="dxa"/>
            <w:tcBorders>
              <w:top w:val="nil"/>
              <w:left w:val="nil"/>
              <w:bottom w:val="nil"/>
              <w:right w:val="nil"/>
            </w:tcBorders>
            <w:shd w:val="clear" w:color="auto" w:fill="auto"/>
            <w:noWrap/>
            <w:vAlign w:val="center"/>
            <w:hideMark/>
          </w:tcPr>
          <w:p w14:paraId="3B1784CA" w14:textId="5EB7D0DC" w:rsidR="00775B48" w:rsidRPr="000C71D9" w:rsidRDefault="00775B48" w:rsidP="00400BAB">
            <w:pPr>
              <w:jc w:val="right"/>
              <w:rPr>
                <w:rFonts w:ascii="Arial" w:hAnsi="Arial" w:cs="Arial"/>
                <w:color w:val="000000"/>
                <w:sz w:val="20"/>
                <w:szCs w:val="20"/>
                <w:highlight w:val="yellow"/>
              </w:rPr>
            </w:pPr>
          </w:p>
        </w:tc>
      </w:tr>
      <w:tr w:rsidR="00775B48" w:rsidRPr="000C71D9" w14:paraId="64603D27" w14:textId="77777777" w:rsidTr="00522AFB">
        <w:trPr>
          <w:trHeight w:val="300"/>
        </w:trPr>
        <w:tc>
          <w:tcPr>
            <w:tcW w:w="3640" w:type="dxa"/>
            <w:tcBorders>
              <w:top w:val="nil"/>
              <w:left w:val="nil"/>
              <w:bottom w:val="nil"/>
              <w:right w:val="nil"/>
            </w:tcBorders>
            <w:shd w:val="clear" w:color="auto" w:fill="auto"/>
            <w:noWrap/>
            <w:vAlign w:val="center"/>
            <w:hideMark/>
          </w:tcPr>
          <w:p w14:paraId="1CA935E0" w14:textId="0E8B7B6A" w:rsidR="00775B48" w:rsidRPr="00400BAB" w:rsidRDefault="00775B48" w:rsidP="00400BAB">
            <w:pPr>
              <w:rPr>
                <w:rFonts w:ascii="Arial" w:hAnsi="Arial" w:cs="Arial"/>
                <w:sz w:val="20"/>
                <w:szCs w:val="20"/>
                <w:highlight w:val="yellow"/>
              </w:rPr>
            </w:pPr>
            <w:r w:rsidRPr="00400BAB">
              <w:rPr>
                <w:rFonts w:ascii="Arial" w:hAnsi="Arial" w:cs="Arial"/>
                <w:sz w:val="20"/>
                <w:szCs w:val="20"/>
              </w:rPr>
              <w:t>Other assets</w:t>
            </w:r>
          </w:p>
        </w:tc>
        <w:tc>
          <w:tcPr>
            <w:tcW w:w="1501" w:type="dxa"/>
            <w:tcBorders>
              <w:top w:val="nil"/>
              <w:left w:val="nil"/>
              <w:bottom w:val="nil"/>
              <w:right w:val="nil"/>
            </w:tcBorders>
            <w:shd w:val="clear" w:color="auto" w:fill="auto"/>
            <w:noWrap/>
            <w:vAlign w:val="center"/>
            <w:hideMark/>
          </w:tcPr>
          <w:p w14:paraId="22849344" w14:textId="5F13518D" w:rsidR="00775B48" w:rsidRPr="00400BAB" w:rsidRDefault="00775B48" w:rsidP="00400BAB">
            <w:pPr>
              <w:jc w:val="right"/>
              <w:rPr>
                <w:rFonts w:ascii="Arial" w:hAnsi="Arial" w:cs="Arial"/>
                <w:sz w:val="20"/>
                <w:szCs w:val="20"/>
                <w:highlight w:val="yellow"/>
              </w:rPr>
            </w:pPr>
            <w:r w:rsidRPr="00400BAB">
              <w:rPr>
                <w:rFonts w:ascii="Arial" w:hAnsi="Arial" w:cs="Arial"/>
                <w:sz w:val="20"/>
                <w:szCs w:val="20"/>
              </w:rPr>
              <w:t xml:space="preserve">         237,274 </w:t>
            </w:r>
          </w:p>
        </w:tc>
        <w:tc>
          <w:tcPr>
            <w:tcW w:w="955" w:type="dxa"/>
            <w:tcBorders>
              <w:top w:val="nil"/>
              <w:left w:val="nil"/>
              <w:bottom w:val="nil"/>
              <w:right w:val="nil"/>
            </w:tcBorders>
            <w:shd w:val="clear" w:color="auto" w:fill="auto"/>
            <w:noWrap/>
            <w:vAlign w:val="center"/>
            <w:hideMark/>
          </w:tcPr>
          <w:p w14:paraId="531256B8" w14:textId="5B86C9A0" w:rsidR="00775B48" w:rsidRPr="00400BAB" w:rsidRDefault="00775B48" w:rsidP="00400BAB">
            <w:pPr>
              <w:jc w:val="right"/>
              <w:rPr>
                <w:rFonts w:ascii="Arial" w:hAnsi="Arial" w:cs="Arial"/>
                <w:sz w:val="20"/>
                <w:szCs w:val="20"/>
                <w:highlight w:val="yellow"/>
              </w:rPr>
            </w:pPr>
            <w:r w:rsidRPr="00400BAB">
              <w:rPr>
                <w:rFonts w:ascii="Arial" w:hAnsi="Arial" w:cs="Arial"/>
                <w:sz w:val="20"/>
                <w:szCs w:val="20"/>
              </w:rPr>
              <w:t>350%</w:t>
            </w:r>
          </w:p>
        </w:tc>
        <w:tc>
          <w:tcPr>
            <w:tcW w:w="1417" w:type="dxa"/>
            <w:tcBorders>
              <w:top w:val="nil"/>
              <w:left w:val="nil"/>
              <w:bottom w:val="nil"/>
              <w:right w:val="nil"/>
            </w:tcBorders>
            <w:shd w:val="clear" w:color="auto" w:fill="auto"/>
            <w:noWrap/>
            <w:vAlign w:val="center"/>
            <w:hideMark/>
          </w:tcPr>
          <w:p w14:paraId="0195A179" w14:textId="49E8CD2F" w:rsidR="00775B48" w:rsidRPr="000C71D9" w:rsidRDefault="00775B48" w:rsidP="00400BAB">
            <w:pPr>
              <w:jc w:val="right"/>
              <w:rPr>
                <w:rFonts w:ascii="Arial" w:hAnsi="Arial" w:cs="Arial"/>
                <w:color w:val="000000"/>
                <w:sz w:val="20"/>
                <w:szCs w:val="20"/>
                <w:highlight w:val="yellow"/>
              </w:rPr>
            </w:pPr>
            <w:r>
              <w:rPr>
                <w:rFonts w:ascii="Arial" w:hAnsi="Arial" w:cs="Arial"/>
                <w:color w:val="000000"/>
                <w:sz w:val="20"/>
                <w:szCs w:val="20"/>
              </w:rPr>
              <w:t xml:space="preserve">       830,460 </w:t>
            </w:r>
          </w:p>
        </w:tc>
      </w:tr>
      <w:tr w:rsidR="00775B48" w:rsidRPr="000C71D9" w14:paraId="64AD7F5C" w14:textId="77777777" w:rsidTr="00522AFB">
        <w:trPr>
          <w:trHeight w:val="300"/>
        </w:trPr>
        <w:tc>
          <w:tcPr>
            <w:tcW w:w="3640" w:type="dxa"/>
            <w:tcBorders>
              <w:top w:val="nil"/>
              <w:left w:val="nil"/>
              <w:bottom w:val="nil"/>
              <w:right w:val="nil"/>
            </w:tcBorders>
            <w:shd w:val="clear" w:color="auto" w:fill="auto"/>
            <w:noWrap/>
            <w:vAlign w:val="center"/>
            <w:hideMark/>
          </w:tcPr>
          <w:p w14:paraId="5B16E2B9" w14:textId="3EB73371" w:rsidR="00775B48" w:rsidRPr="00400BAB" w:rsidRDefault="00775B48" w:rsidP="00400BAB">
            <w:pPr>
              <w:rPr>
                <w:rFonts w:ascii="Arial" w:hAnsi="Arial" w:cs="Arial"/>
                <w:sz w:val="20"/>
                <w:szCs w:val="20"/>
                <w:highlight w:val="yellow"/>
              </w:rPr>
            </w:pPr>
            <w:r w:rsidRPr="00400BAB">
              <w:rPr>
                <w:rFonts w:ascii="Arial" w:hAnsi="Arial" w:cs="Arial"/>
                <w:sz w:val="20"/>
                <w:szCs w:val="20"/>
              </w:rPr>
              <w:t>Deductions from capital</w:t>
            </w:r>
          </w:p>
        </w:tc>
        <w:tc>
          <w:tcPr>
            <w:tcW w:w="1501" w:type="dxa"/>
            <w:tcBorders>
              <w:top w:val="nil"/>
              <w:left w:val="nil"/>
              <w:bottom w:val="nil"/>
              <w:right w:val="nil"/>
            </w:tcBorders>
            <w:shd w:val="clear" w:color="auto" w:fill="auto"/>
            <w:noWrap/>
            <w:vAlign w:val="center"/>
            <w:hideMark/>
          </w:tcPr>
          <w:p w14:paraId="1804CB8B" w14:textId="153D3A2A" w:rsidR="00775B48" w:rsidRPr="00400BAB" w:rsidRDefault="00775B48" w:rsidP="00400BAB">
            <w:pPr>
              <w:jc w:val="right"/>
              <w:rPr>
                <w:rFonts w:ascii="Arial" w:hAnsi="Arial" w:cs="Arial"/>
                <w:sz w:val="20"/>
                <w:szCs w:val="20"/>
                <w:highlight w:val="yellow"/>
              </w:rPr>
            </w:pPr>
            <w:r w:rsidRPr="00400BAB">
              <w:rPr>
                <w:rFonts w:ascii="Arial" w:hAnsi="Arial" w:cs="Arial"/>
                <w:sz w:val="20"/>
                <w:szCs w:val="20"/>
              </w:rPr>
              <w:t xml:space="preserve">         245,922 </w:t>
            </w:r>
          </w:p>
        </w:tc>
        <w:tc>
          <w:tcPr>
            <w:tcW w:w="955" w:type="dxa"/>
            <w:tcBorders>
              <w:top w:val="nil"/>
              <w:left w:val="nil"/>
              <w:bottom w:val="nil"/>
              <w:right w:val="nil"/>
            </w:tcBorders>
            <w:shd w:val="clear" w:color="auto" w:fill="auto"/>
            <w:noWrap/>
            <w:vAlign w:val="center"/>
            <w:hideMark/>
          </w:tcPr>
          <w:p w14:paraId="0B016266" w14:textId="77777777" w:rsidR="00775B48" w:rsidRPr="00400BAB" w:rsidRDefault="00775B48" w:rsidP="00400BAB">
            <w:pPr>
              <w:jc w:val="right"/>
              <w:rPr>
                <w:sz w:val="20"/>
                <w:szCs w:val="20"/>
                <w:highlight w:val="yellow"/>
              </w:rPr>
            </w:pPr>
          </w:p>
        </w:tc>
        <w:tc>
          <w:tcPr>
            <w:tcW w:w="1417" w:type="dxa"/>
            <w:tcBorders>
              <w:top w:val="nil"/>
              <w:left w:val="nil"/>
              <w:bottom w:val="nil"/>
              <w:right w:val="nil"/>
            </w:tcBorders>
            <w:shd w:val="clear" w:color="auto" w:fill="auto"/>
            <w:noWrap/>
            <w:vAlign w:val="center"/>
            <w:hideMark/>
          </w:tcPr>
          <w:p w14:paraId="4F28A0CC" w14:textId="68ED2C01" w:rsidR="00775B48" w:rsidRPr="000C71D9" w:rsidRDefault="00775B48" w:rsidP="00400BAB">
            <w:pPr>
              <w:jc w:val="right"/>
              <w:rPr>
                <w:sz w:val="20"/>
                <w:szCs w:val="20"/>
                <w:highlight w:val="yellow"/>
              </w:rPr>
            </w:pPr>
            <w:r>
              <w:rPr>
                <w:rFonts w:ascii="Arial" w:hAnsi="Arial" w:cs="Arial"/>
                <w:color w:val="000000"/>
                <w:sz w:val="20"/>
                <w:szCs w:val="20"/>
              </w:rPr>
              <w:t xml:space="preserve">                -   </w:t>
            </w:r>
          </w:p>
        </w:tc>
      </w:tr>
      <w:tr w:rsidR="00775B48" w:rsidRPr="000C71D9" w14:paraId="42217A94" w14:textId="77777777" w:rsidTr="00522AFB">
        <w:trPr>
          <w:trHeight w:val="300"/>
        </w:trPr>
        <w:tc>
          <w:tcPr>
            <w:tcW w:w="3640" w:type="dxa"/>
            <w:tcBorders>
              <w:top w:val="nil"/>
              <w:left w:val="nil"/>
              <w:bottom w:val="nil"/>
              <w:right w:val="nil"/>
            </w:tcBorders>
            <w:shd w:val="clear" w:color="auto" w:fill="auto"/>
            <w:noWrap/>
            <w:vAlign w:val="center"/>
            <w:hideMark/>
          </w:tcPr>
          <w:p w14:paraId="6EFBD0AC" w14:textId="6DBE1EE4" w:rsidR="00775B48" w:rsidRPr="000C71D9" w:rsidRDefault="00775B48" w:rsidP="00400BAB">
            <w:pPr>
              <w:rPr>
                <w:rFonts w:ascii="Arial" w:hAnsi="Arial" w:cs="Arial"/>
                <w:color w:val="000000"/>
                <w:sz w:val="20"/>
                <w:szCs w:val="20"/>
                <w:highlight w:val="yellow"/>
              </w:rPr>
            </w:pPr>
          </w:p>
        </w:tc>
        <w:tc>
          <w:tcPr>
            <w:tcW w:w="1501" w:type="dxa"/>
            <w:tcBorders>
              <w:top w:val="nil"/>
              <w:left w:val="nil"/>
              <w:bottom w:val="nil"/>
              <w:right w:val="nil"/>
            </w:tcBorders>
            <w:shd w:val="clear" w:color="auto" w:fill="auto"/>
            <w:noWrap/>
            <w:vAlign w:val="center"/>
            <w:hideMark/>
          </w:tcPr>
          <w:p w14:paraId="4D815809" w14:textId="31B40CB0" w:rsidR="00775B48" w:rsidRPr="000C71D9" w:rsidRDefault="00775B48" w:rsidP="00775B48">
            <w:pPr>
              <w:jc w:val="right"/>
              <w:rPr>
                <w:rFonts w:ascii="Arial" w:hAnsi="Arial" w:cs="Arial"/>
                <w:color w:val="000000"/>
                <w:sz w:val="20"/>
                <w:szCs w:val="20"/>
                <w:highlight w:val="yellow"/>
              </w:rPr>
            </w:pPr>
          </w:p>
        </w:tc>
        <w:tc>
          <w:tcPr>
            <w:tcW w:w="955" w:type="dxa"/>
            <w:tcBorders>
              <w:top w:val="nil"/>
              <w:left w:val="nil"/>
              <w:bottom w:val="nil"/>
              <w:right w:val="nil"/>
            </w:tcBorders>
            <w:shd w:val="clear" w:color="auto" w:fill="auto"/>
            <w:noWrap/>
            <w:vAlign w:val="center"/>
            <w:hideMark/>
          </w:tcPr>
          <w:p w14:paraId="761B2D5A" w14:textId="63577927" w:rsidR="00775B48" w:rsidRPr="000C71D9" w:rsidRDefault="00775B48" w:rsidP="00775B48">
            <w:pPr>
              <w:jc w:val="right"/>
              <w:rPr>
                <w:rFonts w:ascii="Arial" w:hAnsi="Arial" w:cs="Arial"/>
                <w:color w:val="000000"/>
                <w:sz w:val="20"/>
                <w:szCs w:val="20"/>
                <w:highlight w:val="yellow"/>
              </w:rPr>
            </w:pPr>
          </w:p>
        </w:tc>
        <w:tc>
          <w:tcPr>
            <w:tcW w:w="1417" w:type="dxa"/>
            <w:tcBorders>
              <w:top w:val="nil"/>
              <w:left w:val="nil"/>
              <w:bottom w:val="nil"/>
              <w:right w:val="nil"/>
            </w:tcBorders>
            <w:shd w:val="clear" w:color="auto" w:fill="auto"/>
            <w:noWrap/>
            <w:vAlign w:val="center"/>
            <w:hideMark/>
          </w:tcPr>
          <w:p w14:paraId="0BA7DEF8" w14:textId="2DCFB65E" w:rsidR="00775B48" w:rsidRPr="000C71D9" w:rsidRDefault="00775B48" w:rsidP="00775B48">
            <w:pPr>
              <w:jc w:val="right"/>
              <w:rPr>
                <w:rFonts w:ascii="Arial" w:hAnsi="Arial" w:cs="Arial"/>
                <w:color w:val="000000"/>
                <w:sz w:val="20"/>
                <w:szCs w:val="20"/>
                <w:highlight w:val="yellow"/>
              </w:rPr>
            </w:pPr>
          </w:p>
        </w:tc>
      </w:tr>
      <w:tr w:rsidR="00775B48" w:rsidRPr="000C71D9" w14:paraId="424E9E65" w14:textId="77777777" w:rsidTr="00522AFB">
        <w:trPr>
          <w:trHeight w:val="300"/>
        </w:trPr>
        <w:tc>
          <w:tcPr>
            <w:tcW w:w="3640" w:type="dxa"/>
            <w:tcBorders>
              <w:top w:val="nil"/>
              <w:left w:val="nil"/>
              <w:bottom w:val="nil"/>
              <w:right w:val="nil"/>
            </w:tcBorders>
            <w:shd w:val="clear" w:color="auto" w:fill="auto"/>
            <w:noWrap/>
            <w:vAlign w:val="center"/>
            <w:hideMark/>
          </w:tcPr>
          <w:p w14:paraId="1968593C" w14:textId="0F0BF309" w:rsidR="00775B48" w:rsidRPr="000C71D9" w:rsidRDefault="00775B48" w:rsidP="00400BAB">
            <w:pPr>
              <w:rPr>
                <w:rFonts w:ascii="Arial" w:hAnsi="Arial" w:cs="Arial"/>
                <w:color w:val="000000"/>
                <w:sz w:val="20"/>
                <w:szCs w:val="20"/>
                <w:highlight w:val="yellow"/>
              </w:rPr>
            </w:pPr>
            <w:r>
              <w:rPr>
                <w:rFonts w:ascii="Arial" w:hAnsi="Arial" w:cs="Arial"/>
                <w:color w:val="000000"/>
                <w:sz w:val="20"/>
                <w:szCs w:val="20"/>
              </w:rPr>
              <w:t>Total credit risk weighted exposures (A)</w:t>
            </w:r>
          </w:p>
        </w:tc>
        <w:tc>
          <w:tcPr>
            <w:tcW w:w="1501" w:type="dxa"/>
            <w:tcBorders>
              <w:top w:val="nil"/>
              <w:left w:val="nil"/>
              <w:bottom w:val="nil"/>
              <w:right w:val="nil"/>
            </w:tcBorders>
            <w:shd w:val="clear" w:color="auto" w:fill="auto"/>
            <w:noWrap/>
            <w:vAlign w:val="center"/>
            <w:hideMark/>
          </w:tcPr>
          <w:p w14:paraId="533401A0" w14:textId="58774835" w:rsidR="00775B48" w:rsidRPr="000C71D9" w:rsidRDefault="00775B48" w:rsidP="00775B48">
            <w:pPr>
              <w:jc w:val="right"/>
              <w:rPr>
                <w:rFonts w:ascii="Arial" w:hAnsi="Arial" w:cs="Arial"/>
                <w:color w:val="000000"/>
                <w:sz w:val="20"/>
                <w:szCs w:val="20"/>
                <w:highlight w:val="yellow"/>
              </w:rPr>
            </w:pPr>
          </w:p>
        </w:tc>
        <w:tc>
          <w:tcPr>
            <w:tcW w:w="955" w:type="dxa"/>
            <w:tcBorders>
              <w:top w:val="nil"/>
              <w:left w:val="nil"/>
              <w:bottom w:val="nil"/>
              <w:right w:val="nil"/>
            </w:tcBorders>
            <w:shd w:val="clear" w:color="auto" w:fill="auto"/>
            <w:noWrap/>
            <w:vAlign w:val="center"/>
            <w:hideMark/>
          </w:tcPr>
          <w:p w14:paraId="0D2F4520" w14:textId="7319EBF9" w:rsidR="00775B48" w:rsidRPr="000C71D9" w:rsidRDefault="00775B48" w:rsidP="00775B48">
            <w:pPr>
              <w:jc w:val="right"/>
              <w:rPr>
                <w:rFonts w:ascii="Arial" w:hAnsi="Arial" w:cs="Arial"/>
                <w:color w:val="000000"/>
                <w:sz w:val="20"/>
                <w:szCs w:val="20"/>
                <w:highlight w:val="yellow"/>
              </w:rPr>
            </w:pPr>
          </w:p>
        </w:tc>
        <w:tc>
          <w:tcPr>
            <w:tcW w:w="1417" w:type="dxa"/>
            <w:tcBorders>
              <w:top w:val="nil"/>
              <w:left w:val="nil"/>
              <w:bottom w:val="nil"/>
              <w:right w:val="nil"/>
            </w:tcBorders>
            <w:shd w:val="clear" w:color="auto" w:fill="auto"/>
            <w:noWrap/>
            <w:vAlign w:val="center"/>
            <w:hideMark/>
          </w:tcPr>
          <w:p w14:paraId="697B829D" w14:textId="4873D72E" w:rsidR="00775B48" w:rsidRPr="000C71D9" w:rsidRDefault="00775B48" w:rsidP="00775B48">
            <w:pPr>
              <w:jc w:val="right"/>
              <w:rPr>
                <w:rFonts w:ascii="Arial" w:hAnsi="Arial" w:cs="Arial"/>
                <w:color w:val="000000"/>
                <w:sz w:val="20"/>
                <w:szCs w:val="20"/>
                <w:highlight w:val="yellow"/>
              </w:rPr>
            </w:pPr>
            <w:r>
              <w:rPr>
                <w:rFonts w:ascii="Arial" w:hAnsi="Arial" w:cs="Arial"/>
                <w:color w:val="000000"/>
                <w:sz w:val="20"/>
                <w:szCs w:val="20"/>
              </w:rPr>
              <w:t>56,032,507</w:t>
            </w:r>
          </w:p>
        </w:tc>
      </w:tr>
      <w:tr w:rsidR="00775B48" w:rsidRPr="000C71D9" w14:paraId="68E41EFB" w14:textId="77777777" w:rsidTr="00522AFB">
        <w:trPr>
          <w:trHeight w:val="300"/>
        </w:trPr>
        <w:tc>
          <w:tcPr>
            <w:tcW w:w="3640" w:type="dxa"/>
            <w:tcBorders>
              <w:top w:val="nil"/>
              <w:left w:val="nil"/>
              <w:bottom w:val="nil"/>
              <w:right w:val="nil"/>
            </w:tcBorders>
            <w:shd w:val="clear" w:color="auto" w:fill="auto"/>
            <w:noWrap/>
            <w:vAlign w:val="center"/>
            <w:hideMark/>
          </w:tcPr>
          <w:p w14:paraId="5D1F6EF8" w14:textId="1F12D7AE" w:rsidR="00775B48" w:rsidRPr="000C71D9" w:rsidRDefault="00775B48" w:rsidP="00400BAB">
            <w:pPr>
              <w:rPr>
                <w:rFonts w:ascii="Arial" w:hAnsi="Arial" w:cs="Arial"/>
                <w:color w:val="000000"/>
                <w:sz w:val="20"/>
                <w:szCs w:val="20"/>
                <w:highlight w:val="yellow"/>
              </w:rPr>
            </w:pPr>
          </w:p>
        </w:tc>
        <w:tc>
          <w:tcPr>
            <w:tcW w:w="1501" w:type="dxa"/>
            <w:tcBorders>
              <w:top w:val="nil"/>
              <w:left w:val="nil"/>
              <w:bottom w:val="nil"/>
              <w:right w:val="nil"/>
            </w:tcBorders>
            <w:shd w:val="clear" w:color="auto" w:fill="auto"/>
            <w:noWrap/>
            <w:vAlign w:val="center"/>
            <w:hideMark/>
          </w:tcPr>
          <w:p w14:paraId="19F0F79D" w14:textId="30E8EB21" w:rsidR="00775B48" w:rsidRPr="000C71D9" w:rsidRDefault="00775B48" w:rsidP="00775B48">
            <w:pPr>
              <w:jc w:val="right"/>
              <w:rPr>
                <w:rFonts w:ascii="Arial" w:hAnsi="Arial" w:cs="Arial"/>
                <w:color w:val="000000"/>
                <w:sz w:val="20"/>
                <w:szCs w:val="20"/>
                <w:highlight w:val="yellow"/>
              </w:rPr>
            </w:pPr>
          </w:p>
        </w:tc>
        <w:tc>
          <w:tcPr>
            <w:tcW w:w="955" w:type="dxa"/>
            <w:tcBorders>
              <w:top w:val="nil"/>
              <w:left w:val="nil"/>
              <w:bottom w:val="nil"/>
              <w:right w:val="nil"/>
            </w:tcBorders>
            <w:shd w:val="clear" w:color="auto" w:fill="auto"/>
            <w:noWrap/>
            <w:vAlign w:val="center"/>
            <w:hideMark/>
          </w:tcPr>
          <w:p w14:paraId="4C57FB81" w14:textId="72911E50" w:rsidR="00775B48" w:rsidRPr="000C71D9" w:rsidRDefault="00775B48" w:rsidP="00775B48">
            <w:pPr>
              <w:jc w:val="right"/>
              <w:rPr>
                <w:rFonts w:ascii="Arial" w:hAnsi="Arial" w:cs="Arial"/>
                <w:color w:val="000000"/>
                <w:sz w:val="20"/>
                <w:szCs w:val="20"/>
                <w:highlight w:val="yellow"/>
              </w:rPr>
            </w:pPr>
          </w:p>
        </w:tc>
        <w:tc>
          <w:tcPr>
            <w:tcW w:w="1417" w:type="dxa"/>
            <w:tcBorders>
              <w:top w:val="nil"/>
              <w:left w:val="nil"/>
              <w:bottom w:val="nil"/>
              <w:right w:val="nil"/>
            </w:tcBorders>
            <w:shd w:val="clear" w:color="auto" w:fill="auto"/>
            <w:noWrap/>
            <w:vAlign w:val="center"/>
            <w:hideMark/>
          </w:tcPr>
          <w:p w14:paraId="665869EA" w14:textId="4444CE49" w:rsidR="00775B48" w:rsidRPr="000C71D9" w:rsidRDefault="00775B48" w:rsidP="00775B48">
            <w:pPr>
              <w:jc w:val="right"/>
              <w:rPr>
                <w:rFonts w:ascii="Arial" w:hAnsi="Arial" w:cs="Arial"/>
                <w:color w:val="000000"/>
                <w:sz w:val="20"/>
                <w:szCs w:val="20"/>
                <w:highlight w:val="yellow"/>
              </w:rPr>
            </w:pPr>
          </w:p>
        </w:tc>
      </w:tr>
      <w:tr w:rsidR="00775B48" w:rsidRPr="000C71D9" w14:paraId="7350C7FF" w14:textId="77777777" w:rsidTr="00522AFB">
        <w:trPr>
          <w:trHeight w:val="300"/>
        </w:trPr>
        <w:tc>
          <w:tcPr>
            <w:tcW w:w="3640" w:type="dxa"/>
            <w:tcBorders>
              <w:top w:val="nil"/>
              <w:left w:val="nil"/>
              <w:bottom w:val="nil"/>
              <w:right w:val="nil"/>
            </w:tcBorders>
            <w:shd w:val="clear" w:color="auto" w:fill="auto"/>
            <w:noWrap/>
            <w:vAlign w:val="center"/>
            <w:hideMark/>
          </w:tcPr>
          <w:p w14:paraId="12856F62" w14:textId="126F3FC1" w:rsidR="00775B48" w:rsidRPr="000C71D9" w:rsidRDefault="00775B48" w:rsidP="00400BAB">
            <w:pPr>
              <w:rPr>
                <w:rFonts w:ascii="Arial" w:hAnsi="Arial" w:cs="Arial"/>
                <w:color w:val="000000"/>
                <w:sz w:val="20"/>
                <w:szCs w:val="20"/>
                <w:highlight w:val="yellow"/>
              </w:rPr>
            </w:pPr>
            <w:r>
              <w:rPr>
                <w:rFonts w:ascii="Arial" w:hAnsi="Arial" w:cs="Arial"/>
                <w:color w:val="000000"/>
                <w:sz w:val="20"/>
                <w:szCs w:val="20"/>
              </w:rPr>
              <w:t>Total assets (B)</w:t>
            </w:r>
          </w:p>
        </w:tc>
        <w:tc>
          <w:tcPr>
            <w:tcW w:w="1501" w:type="dxa"/>
            <w:tcBorders>
              <w:top w:val="nil"/>
              <w:left w:val="nil"/>
              <w:bottom w:val="nil"/>
              <w:right w:val="nil"/>
            </w:tcBorders>
            <w:shd w:val="clear" w:color="auto" w:fill="auto"/>
            <w:noWrap/>
            <w:vAlign w:val="center"/>
            <w:hideMark/>
          </w:tcPr>
          <w:p w14:paraId="240EC12B" w14:textId="41E2F619" w:rsidR="00775B48" w:rsidRPr="000C71D9" w:rsidRDefault="00775B48" w:rsidP="00775B48">
            <w:pPr>
              <w:jc w:val="right"/>
              <w:rPr>
                <w:rFonts w:ascii="Arial" w:hAnsi="Arial" w:cs="Arial"/>
                <w:color w:val="000000"/>
                <w:sz w:val="20"/>
                <w:szCs w:val="20"/>
                <w:highlight w:val="yellow"/>
              </w:rPr>
            </w:pPr>
            <w:r>
              <w:rPr>
                <w:rFonts w:ascii="Arial" w:hAnsi="Arial" w:cs="Arial"/>
                <w:color w:val="000000"/>
                <w:sz w:val="20"/>
                <w:szCs w:val="20"/>
              </w:rPr>
              <w:t>127,685,803</w:t>
            </w:r>
          </w:p>
        </w:tc>
        <w:tc>
          <w:tcPr>
            <w:tcW w:w="955" w:type="dxa"/>
            <w:tcBorders>
              <w:top w:val="nil"/>
              <w:left w:val="nil"/>
              <w:bottom w:val="nil"/>
              <w:right w:val="nil"/>
            </w:tcBorders>
            <w:shd w:val="clear" w:color="auto" w:fill="auto"/>
            <w:noWrap/>
            <w:vAlign w:val="center"/>
            <w:hideMark/>
          </w:tcPr>
          <w:p w14:paraId="65155BCC" w14:textId="3B07F486" w:rsidR="00775B48" w:rsidRPr="000C71D9" w:rsidRDefault="00775B48" w:rsidP="00775B48">
            <w:pPr>
              <w:jc w:val="right"/>
              <w:rPr>
                <w:rFonts w:ascii="Arial" w:hAnsi="Arial" w:cs="Arial"/>
                <w:color w:val="000000"/>
                <w:sz w:val="20"/>
                <w:szCs w:val="20"/>
                <w:highlight w:val="yellow"/>
              </w:rPr>
            </w:pPr>
          </w:p>
        </w:tc>
        <w:tc>
          <w:tcPr>
            <w:tcW w:w="1417" w:type="dxa"/>
            <w:tcBorders>
              <w:top w:val="nil"/>
              <w:left w:val="nil"/>
              <w:bottom w:val="nil"/>
              <w:right w:val="nil"/>
            </w:tcBorders>
            <w:shd w:val="clear" w:color="auto" w:fill="auto"/>
            <w:noWrap/>
            <w:vAlign w:val="center"/>
            <w:hideMark/>
          </w:tcPr>
          <w:p w14:paraId="7F6F7E64" w14:textId="3B3C918C" w:rsidR="00775B48" w:rsidRPr="000C71D9" w:rsidRDefault="00775B48" w:rsidP="00775B48">
            <w:pPr>
              <w:jc w:val="right"/>
              <w:rPr>
                <w:rFonts w:ascii="Arial" w:hAnsi="Arial" w:cs="Arial"/>
                <w:color w:val="000000"/>
                <w:sz w:val="20"/>
                <w:szCs w:val="20"/>
                <w:highlight w:val="yellow"/>
              </w:rPr>
            </w:pPr>
          </w:p>
        </w:tc>
      </w:tr>
      <w:tr w:rsidR="00775B48" w:rsidRPr="000C71D9" w14:paraId="4527BB2D" w14:textId="77777777" w:rsidTr="00522AFB">
        <w:trPr>
          <w:trHeight w:val="300"/>
        </w:trPr>
        <w:tc>
          <w:tcPr>
            <w:tcW w:w="3640" w:type="dxa"/>
            <w:tcBorders>
              <w:top w:val="nil"/>
              <w:left w:val="nil"/>
              <w:bottom w:val="nil"/>
              <w:right w:val="nil"/>
            </w:tcBorders>
            <w:shd w:val="clear" w:color="auto" w:fill="auto"/>
            <w:noWrap/>
            <w:vAlign w:val="center"/>
            <w:hideMark/>
          </w:tcPr>
          <w:p w14:paraId="7D1583A2" w14:textId="613767B8" w:rsidR="00775B48" w:rsidRPr="000C71D9" w:rsidRDefault="00775B48" w:rsidP="00400BAB">
            <w:pPr>
              <w:rPr>
                <w:rFonts w:ascii="Arial" w:hAnsi="Arial" w:cs="Arial"/>
                <w:color w:val="000000"/>
                <w:sz w:val="20"/>
                <w:szCs w:val="20"/>
                <w:highlight w:val="yellow"/>
              </w:rPr>
            </w:pPr>
            <w:r>
              <w:rPr>
                <w:rFonts w:ascii="Arial" w:hAnsi="Arial" w:cs="Arial"/>
                <w:color w:val="000000"/>
                <w:sz w:val="20"/>
                <w:szCs w:val="20"/>
              </w:rPr>
              <w:t>Operational and Market Exposures</w:t>
            </w:r>
          </w:p>
        </w:tc>
        <w:tc>
          <w:tcPr>
            <w:tcW w:w="1501" w:type="dxa"/>
            <w:tcBorders>
              <w:top w:val="nil"/>
              <w:left w:val="nil"/>
              <w:bottom w:val="nil"/>
              <w:right w:val="nil"/>
            </w:tcBorders>
            <w:shd w:val="clear" w:color="auto" w:fill="auto"/>
            <w:noWrap/>
            <w:vAlign w:val="center"/>
            <w:hideMark/>
          </w:tcPr>
          <w:p w14:paraId="3D67E3C0" w14:textId="10B0807C" w:rsidR="00775B48" w:rsidRPr="000C71D9" w:rsidRDefault="00775B48" w:rsidP="00775B48">
            <w:pPr>
              <w:jc w:val="right"/>
              <w:rPr>
                <w:rFonts w:ascii="Arial" w:hAnsi="Arial" w:cs="Arial"/>
                <w:color w:val="000000"/>
                <w:sz w:val="20"/>
                <w:szCs w:val="20"/>
                <w:highlight w:val="yellow"/>
              </w:rPr>
            </w:pPr>
            <w:r>
              <w:rPr>
                <w:rFonts w:ascii="Arial" w:hAnsi="Arial" w:cs="Arial"/>
                <w:color w:val="000000"/>
                <w:sz w:val="20"/>
                <w:szCs w:val="20"/>
              </w:rPr>
              <w:t>(A+B)/2x0.175</w:t>
            </w:r>
          </w:p>
        </w:tc>
        <w:tc>
          <w:tcPr>
            <w:tcW w:w="955" w:type="dxa"/>
            <w:tcBorders>
              <w:top w:val="nil"/>
              <w:left w:val="nil"/>
              <w:bottom w:val="nil"/>
              <w:right w:val="nil"/>
            </w:tcBorders>
            <w:shd w:val="clear" w:color="auto" w:fill="auto"/>
            <w:noWrap/>
            <w:vAlign w:val="center"/>
            <w:hideMark/>
          </w:tcPr>
          <w:p w14:paraId="55990701" w14:textId="5E3DE059" w:rsidR="00775B48" w:rsidRPr="000C71D9" w:rsidRDefault="00775B48" w:rsidP="00775B48">
            <w:pPr>
              <w:jc w:val="right"/>
              <w:rPr>
                <w:rFonts w:ascii="Arial" w:hAnsi="Arial" w:cs="Arial"/>
                <w:color w:val="000000"/>
                <w:sz w:val="20"/>
                <w:szCs w:val="20"/>
                <w:highlight w:val="yellow"/>
              </w:rPr>
            </w:pPr>
          </w:p>
        </w:tc>
        <w:tc>
          <w:tcPr>
            <w:tcW w:w="1417" w:type="dxa"/>
            <w:tcBorders>
              <w:top w:val="nil"/>
              <w:left w:val="nil"/>
              <w:bottom w:val="nil"/>
              <w:right w:val="nil"/>
            </w:tcBorders>
            <w:shd w:val="clear" w:color="auto" w:fill="auto"/>
            <w:noWrap/>
            <w:vAlign w:val="center"/>
            <w:hideMark/>
          </w:tcPr>
          <w:p w14:paraId="6AAE8B6D" w14:textId="26D37551" w:rsidR="00775B48" w:rsidRPr="000C71D9" w:rsidRDefault="00775B48" w:rsidP="00775B48">
            <w:pPr>
              <w:jc w:val="right"/>
              <w:rPr>
                <w:rFonts w:ascii="Arial" w:hAnsi="Arial" w:cs="Arial"/>
                <w:color w:val="000000"/>
                <w:sz w:val="20"/>
                <w:szCs w:val="20"/>
                <w:highlight w:val="yellow"/>
              </w:rPr>
            </w:pPr>
            <w:r>
              <w:rPr>
                <w:rFonts w:ascii="Arial" w:hAnsi="Arial" w:cs="Arial"/>
                <w:color w:val="000000"/>
                <w:sz w:val="20"/>
                <w:szCs w:val="20"/>
              </w:rPr>
              <w:t>16,075,352</w:t>
            </w:r>
          </w:p>
        </w:tc>
      </w:tr>
      <w:tr w:rsidR="00775B48" w:rsidRPr="000C71D9" w14:paraId="1B40E088" w14:textId="77777777" w:rsidTr="00522AFB">
        <w:trPr>
          <w:trHeight w:val="300"/>
        </w:trPr>
        <w:tc>
          <w:tcPr>
            <w:tcW w:w="3640" w:type="dxa"/>
            <w:tcBorders>
              <w:top w:val="nil"/>
              <w:left w:val="nil"/>
              <w:bottom w:val="nil"/>
              <w:right w:val="nil"/>
            </w:tcBorders>
            <w:shd w:val="clear" w:color="auto" w:fill="auto"/>
            <w:noWrap/>
            <w:vAlign w:val="center"/>
            <w:hideMark/>
          </w:tcPr>
          <w:p w14:paraId="20447A60" w14:textId="194876B3" w:rsidR="00775B48" w:rsidRPr="000C71D9" w:rsidRDefault="00775B48" w:rsidP="00400BAB">
            <w:pPr>
              <w:rPr>
                <w:rFonts w:ascii="Arial" w:hAnsi="Arial" w:cs="Arial"/>
                <w:color w:val="000000"/>
                <w:sz w:val="20"/>
                <w:szCs w:val="20"/>
                <w:highlight w:val="yellow"/>
              </w:rPr>
            </w:pPr>
          </w:p>
        </w:tc>
        <w:tc>
          <w:tcPr>
            <w:tcW w:w="1501" w:type="dxa"/>
            <w:tcBorders>
              <w:top w:val="nil"/>
              <w:left w:val="nil"/>
              <w:bottom w:val="nil"/>
              <w:right w:val="nil"/>
            </w:tcBorders>
            <w:shd w:val="clear" w:color="auto" w:fill="auto"/>
            <w:noWrap/>
            <w:vAlign w:val="center"/>
            <w:hideMark/>
          </w:tcPr>
          <w:p w14:paraId="7E178438" w14:textId="0BFE7571" w:rsidR="00775B48" w:rsidRPr="000C71D9" w:rsidRDefault="00775B48" w:rsidP="00775B48">
            <w:pPr>
              <w:jc w:val="right"/>
              <w:rPr>
                <w:rFonts w:ascii="Arial" w:hAnsi="Arial" w:cs="Arial"/>
                <w:color w:val="000000"/>
                <w:sz w:val="20"/>
                <w:szCs w:val="20"/>
                <w:highlight w:val="yellow"/>
              </w:rPr>
            </w:pPr>
          </w:p>
        </w:tc>
        <w:tc>
          <w:tcPr>
            <w:tcW w:w="955" w:type="dxa"/>
            <w:tcBorders>
              <w:top w:val="nil"/>
              <w:left w:val="nil"/>
              <w:bottom w:val="nil"/>
              <w:right w:val="nil"/>
            </w:tcBorders>
            <w:shd w:val="clear" w:color="auto" w:fill="auto"/>
            <w:noWrap/>
            <w:vAlign w:val="center"/>
            <w:hideMark/>
          </w:tcPr>
          <w:p w14:paraId="67386642" w14:textId="77777777" w:rsidR="00775B48" w:rsidRPr="000C71D9" w:rsidRDefault="00775B48" w:rsidP="00775B48">
            <w:pPr>
              <w:jc w:val="right"/>
              <w:rPr>
                <w:rFonts w:ascii="Arial" w:hAnsi="Arial" w:cs="Arial"/>
                <w:color w:val="000000"/>
                <w:sz w:val="20"/>
                <w:szCs w:val="20"/>
                <w:highlight w:val="yellow"/>
              </w:rPr>
            </w:pPr>
          </w:p>
        </w:tc>
        <w:tc>
          <w:tcPr>
            <w:tcW w:w="1417" w:type="dxa"/>
            <w:tcBorders>
              <w:top w:val="nil"/>
              <w:left w:val="nil"/>
              <w:bottom w:val="nil"/>
              <w:right w:val="nil"/>
            </w:tcBorders>
            <w:shd w:val="clear" w:color="auto" w:fill="auto"/>
            <w:noWrap/>
            <w:vAlign w:val="center"/>
            <w:hideMark/>
          </w:tcPr>
          <w:p w14:paraId="79B7CD03" w14:textId="6C2D2E72" w:rsidR="00775B48" w:rsidRPr="000C71D9" w:rsidRDefault="00775B48" w:rsidP="00775B48">
            <w:pPr>
              <w:jc w:val="right"/>
              <w:rPr>
                <w:rFonts w:ascii="Arial" w:hAnsi="Arial" w:cs="Arial"/>
                <w:color w:val="000000"/>
                <w:sz w:val="20"/>
                <w:szCs w:val="20"/>
                <w:highlight w:val="yellow"/>
              </w:rPr>
            </w:pPr>
            <w:r>
              <w:rPr>
                <w:rFonts w:ascii="Arial" w:hAnsi="Arial" w:cs="Arial"/>
                <w:color w:val="000000"/>
                <w:sz w:val="20"/>
                <w:szCs w:val="20"/>
              </w:rPr>
              <w:t> </w:t>
            </w:r>
          </w:p>
        </w:tc>
      </w:tr>
      <w:tr w:rsidR="00775B48" w:rsidRPr="000C71D9" w14:paraId="128270DE" w14:textId="77777777" w:rsidTr="00522AFB">
        <w:trPr>
          <w:trHeight w:val="300"/>
        </w:trPr>
        <w:tc>
          <w:tcPr>
            <w:tcW w:w="3640" w:type="dxa"/>
            <w:tcBorders>
              <w:top w:val="nil"/>
              <w:left w:val="nil"/>
              <w:bottom w:val="nil"/>
              <w:right w:val="nil"/>
            </w:tcBorders>
            <w:shd w:val="clear" w:color="auto" w:fill="auto"/>
            <w:noWrap/>
            <w:vAlign w:val="center"/>
            <w:hideMark/>
          </w:tcPr>
          <w:p w14:paraId="22F27F60" w14:textId="1C5BC7F3" w:rsidR="00775B48" w:rsidRPr="000C71D9" w:rsidRDefault="00775B48" w:rsidP="00400BAB">
            <w:pPr>
              <w:rPr>
                <w:rFonts w:ascii="Arial" w:hAnsi="Arial" w:cs="Arial"/>
                <w:color w:val="000000"/>
                <w:sz w:val="20"/>
                <w:szCs w:val="20"/>
                <w:highlight w:val="yellow"/>
              </w:rPr>
            </w:pPr>
            <w:r>
              <w:rPr>
                <w:rFonts w:ascii="Arial" w:hAnsi="Arial" w:cs="Arial"/>
                <w:color w:val="000000"/>
                <w:sz w:val="20"/>
                <w:szCs w:val="20"/>
              </w:rPr>
              <w:t>Total Exposures</w:t>
            </w:r>
          </w:p>
        </w:tc>
        <w:tc>
          <w:tcPr>
            <w:tcW w:w="1501" w:type="dxa"/>
            <w:tcBorders>
              <w:top w:val="nil"/>
              <w:left w:val="nil"/>
              <w:bottom w:val="nil"/>
              <w:right w:val="nil"/>
            </w:tcBorders>
            <w:shd w:val="clear" w:color="auto" w:fill="auto"/>
            <w:noWrap/>
            <w:vAlign w:val="center"/>
            <w:hideMark/>
          </w:tcPr>
          <w:p w14:paraId="4C0D41AB" w14:textId="77777777" w:rsidR="00775B48" w:rsidRPr="000C71D9" w:rsidRDefault="00775B48" w:rsidP="00775B48">
            <w:pPr>
              <w:rPr>
                <w:sz w:val="20"/>
                <w:szCs w:val="20"/>
                <w:highlight w:val="yellow"/>
              </w:rPr>
            </w:pPr>
          </w:p>
        </w:tc>
        <w:tc>
          <w:tcPr>
            <w:tcW w:w="955" w:type="dxa"/>
            <w:tcBorders>
              <w:top w:val="nil"/>
              <w:left w:val="nil"/>
              <w:bottom w:val="nil"/>
              <w:right w:val="nil"/>
            </w:tcBorders>
            <w:shd w:val="clear" w:color="auto" w:fill="auto"/>
            <w:noWrap/>
            <w:vAlign w:val="center"/>
            <w:hideMark/>
          </w:tcPr>
          <w:p w14:paraId="339D1503" w14:textId="77777777" w:rsidR="00775B48" w:rsidRPr="000C71D9" w:rsidRDefault="00775B48" w:rsidP="00775B48">
            <w:pPr>
              <w:jc w:val="right"/>
              <w:rPr>
                <w:sz w:val="20"/>
                <w:szCs w:val="20"/>
                <w:highlight w:val="yellow"/>
              </w:rPr>
            </w:pPr>
          </w:p>
        </w:tc>
        <w:tc>
          <w:tcPr>
            <w:tcW w:w="1417" w:type="dxa"/>
            <w:tcBorders>
              <w:top w:val="nil"/>
              <w:left w:val="nil"/>
              <w:bottom w:val="nil"/>
              <w:right w:val="nil"/>
            </w:tcBorders>
            <w:shd w:val="clear" w:color="auto" w:fill="auto"/>
            <w:noWrap/>
            <w:vAlign w:val="center"/>
            <w:hideMark/>
          </w:tcPr>
          <w:p w14:paraId="2C3BF067" w14:textId="08126490" w:rsidR="00775B48" w:rsidRPr="000C71D9" w:rsidRDefault="00775B48" w:rsidP="00775B48">
            <w:pPr>
              <w:jc w:val="right"/>
              <w:rPr>
                <w:sz w:val="20"/>
                <w:szCs w:val="20"/>
                <w:highlight w:val="yellow"/>
              </w:rPr>
            </w:pPr>
            <w:r>
              <w:rPr>
                <w:rFonts w:ascii="Arial" w:hAnsi="Arial" w:cs="Arial"/>
                <w:color w:val="000000"/>
                <w:sz w:val="20"/>
                <w:szCs w:val="20"/>
              </w:rPr>
              <w:t>72,107,859</w:t>
            </w:r>
          </w:p>
        </w:tc>
      </w:tr>
      <w:tr w:rsidR="000C71D9" w:rsidRPr="00400BAB" w14:paraId="6F8826D5" w14:textId="77777777" w:rsidTr="00522AFB">
        <w:trPr>
          <w:trHeight w:val="300"/>
        </w:trPr>
        <w:tc>
          <w:tcPr>
            <w:tcW w:w="3640" w:type="dxa"/>
            <w:tcBorders>
              <w:top w:val="nil"/>
              <w:left w:val="nil"/>
              <w:bottom w:val="nil"/>
              <w:right w:val="nil"/>
            </w:tcBorders>
            <w:shd w:val="clear" w:color="auto" w:fill="auto"/>
            <w:noWrap/>
            <w:vAlign w:val="center"/>
            <w:hideMark/>
          </w:tcPr>
          <w:p w14:paraId="6D04018D" w14:textId="77777777" w:rsidR="000C71D9" w:rsidRPr="00400BAB" w:rsidRDefault="000C71D9" w:rsidP="00522AFB">
            <w:pPr>
              <w:jc w:val="right"/>
              <w:rPr>
                <w:rFonts w:ascii="Arial" w:hAnsi="Arial" w:cs="Arial"/>
                <w:color w:val="000000"/>
                <w:sz w:val="20"/>
                <w:szCs w:val="20"/>
              </w:rPr>
            </w:pPr>
          </w:p>
        </w:tc>
        <w:tc>
          <w:tcPr>
            <w:tcW w:w="1501" w:type="dxa"/>
            <w:tcBorders>
              <w:top w:val="nil"/>
              <w:left w:val="nil"/>
              <w:bottom w:val="nil"/>
              <w:right w:val="nil"/>
            </w:tcBorders>
            <w:shd w:val="clear" w:color="auto" w:fill="auto"/>
            <w:noWrap/>
            <w:vAlign w:val="center"/>
            <w:hideMark/>
          </w:tcPr>
          <w:p w14:paraId="4DBC7EE0" w14:textId="77777777" w:rsidR="000C71D9" w:rsidRPr="00400BAB" w:rsidRDefault="000C71D9" w:rsidP="00522AFB">
            <w:pPr>
              <w:rPr>
                <w:sz w:val="20"/>
                <w:szCs w:val="20"/>
              </w:rPr>
            </w:pPr>
          </w:p>
        </w:tc>
        <w:tc>
          <w:tcPr>
            <w:tcW w:w="955" w:type="dxa"/>
            <w:tcBorders>
              <w:top w:val="nil"/>
              <w:left w:val="nil"/>
              <w:bottom w:val="nil"/>
              <w:right w:val="nil"/>
            </w:tcBorders>
            <w:shd w:val="clear" w:color="auto" w:fill="auto"/>
            <w:noWrap/>
            <w:vAlign w:val="center"/>
            <w:hideMark/>
          </w:tcPr>
          <w:p w14:paraId="535C2C91" w14:textId="77777777" w:rsidR="000C71D9" w:rsidRPr="00400BAB" w:rsidRDefault="000C71D9" w:rsidP="00522AFB">
            <w:pPr>
              <w:rPr>
                <w:sz w:val="20"/>
                <w:szCs w:val="20"/>
              </w:rPr>
            </w:pPr>
          </w:p>
        </w:tc>
        <w:tc>
          <w:tcPr>
            <w:tcW w:w="1417" w:type="dxa"/>
            <w:tcBorders>
              <w:top w:val="nil"/>
              <w:left w:val="nil"/>
              <w:bottom w:val="nil"/>
              <w:right w:val="nil"/>
            </w:tcBorders>
            <w:shd w:val="clear" w:color="auto" w:fill="auto"/>
            <w:noWrap/>
            <w:vAlign w:val="center"/>
            <w:hideMark/>
          </w:tcPr>
          <w:p w14:paraId="1226A4AC" w14:textId="77777777" w:rsidR="000C71D9" w:rsidRPr="00400BAB" w:rsidRDefault="000C71D9" w:rsidP="00522AFB">
            <w:pPr>
              <w:rPr>
                <w:sz w:val="20"/>
                <w:szCs w:val="20"/>
              </w:rPr>
            </w:pPr>
          </w:p>
        </w:tc>
      </w:tr>
      <w:tr w:rsidR="000C71D9" w:rsidRPr="00400BAB" w14:paraId="66FCEF17" w14:textId="77777777" w:rsidTr="00522AFB">
        <w:trPr>
          <w:trHeight w:val="300"/>
        </w:trPr>
        <w:tc>
          <w:tcPr>
            <w:tcW w:w="3640" w:type="dxa"/>
            <w:tcBorders>
              <w:top w:val="nil"/>
              <w:left w:val="nil"/>
              <w:bottom w:val="nil"/>
              <w:right w:val="nil"/>
            </w:tcBorders>
            <w:shd w:val="clear" w:color="auto" w:fill="auto"/>
            <w:noWrap/>
            <w:vAlign w:val="center"/>
            <w:hideMark/>
          </w:tcPr>
          <w:p w14:paraId="5546BD1A" w14:textId="40EB3515" w:rsidR="000C71D9" w:rsidRPr="00400BAB" w:rsidRDefault="000C71D9" w:rsidP="00522AFB">
            <w:pPr>
              <w:rPr>
                <w:rFonts w:ascii="Arial" w:hAnsi="Arial" w:cs="Arial"/>
                <w:b/>
                <w:bCs/>
                <w:color w:val="000000"/>
                <w:sz w:val="20"/>
                <w:szCs w:val="20"/>
              </w:rPr>
            </w:pPr>
            <w:r w:rsidRPr="00400BAB">
              <w:rPr>
                <w:rFonts w:ascii="Arial" w:hAnsi="Arial" w:cs="Arial"/>
                <w:b/>
                <w:bCs/>
                <w:color w:val="000000"/>
                <w:sz w:val="20"/>
                <w:szCs w:val="20"/>
              </w:rPr>
              <w:t xml:space="preserve">Capital Ratio </w:t>
            </w:r>
            <w:proofErr w:type="gramStart"/>
            <w:r w:rsidRPr="00400BAB">
              <w:rPr>
                <w:rFonts w:ascii="Arial" w:hAnsi="Arial" w:cs="Arial"/>
                <w:b/>
                <w:bCs/>
                <w:color w:val="000000"/>
                <w:sz w:val="20"/>
                <w:szCs w:val="20"/>
              </w:rPr>
              <w:t>at</w:t>
            </w:r>
            <w:proofErr w:type="gramEnd"/>
            <w:r w:rsidRPr="00400BAB">
              <w:rPr>
                <w:rFonts w:ascii="Arial" w:hAnsi="Arial" w:cs="Arial"/>
                <w:b/>
                <w:bCs/>
                <w:color w:val="000000"/>
                <w:sz w:val="20"/>
                <w:szCs w:val="20"/>
              </w:rPr>
              <w:t xml:space="preserve"> 31 March 2023</w:t>
            </w:r>
          </w:p>
        </w:tc>
        <w:tc>
          <w:tcPr>
            <w:tcW w:w="1501" w:type="dxa"/>
            <w:vMerge w:val="restart"/>
            <w:tcBorders>
              <w:top w:val="nil"/>
              <w:left w:val="nil"/>
              <w:bottom w:val="nil"/>
              <w:right w:val="nil"/>
            </w:tcBorders>
            <w:shd w:val="clear" w:color="auto" w:fill="auto"/>
            <w:noWrap/>
            <w:vAlign w:val="center"/>
            <w:hideMark/>
          </w:tcPr>
          <w:p w14:paraId="15D174E0" w14:textId="77777777" w:rsidR="000C71D9" w:rsidRPr="00400BAB" w:rsidRDefault="000C71D9" w:rsidP="00522AFB">
            <w:pPr>
              <w:rPr>
                <w:rFonts w:ascii="Arial" w:hAnsi="Arial" w:cs="Arial"/>
                <w:b/>
                <w:bCs/>
                <w:color w:val="000000"/>
                <w:sz w:val="20"/>
                <w:szCs w:val="20"/>
              </w:rPr>
            </w:pPr>
          </w:p>
        </w:tc>
        <w:tc>
          <w:tcPr>
            <w:tcW w:w="955" w:type="dxa"/>
            <w:vMerge w:val="restart"/>
            <w:tcBorders>
              <w:top w:val="nil"/>
              <w:left w:val="nil"/>
              <w:bottom w:val="nil"/>
              <w:right w:val="nil"/>
            </w:tcBorders>
            <w:shd w:val="clear" w:color="auto" w:fill="auto"/>
            <w:noWrap/>
            <w:vAlign w:val="center"/>
            <w:hideMark/>
          </w:tcPr>
          <w:p w14:paraId="1F7D7478" w14:textId="77777777" w:rsidR="000C71D9" w:rsidRPr="00400BAB" w:rsidRDefault="000C71D9" w:rsidP="00522AFB">
            <w:pPr>
              <w:rPr>
                <w:sz w:val="20"/>
                <w:szCs w:val="20"/>
              </w:rPr>
            </w:pPr>
          </w:p>
        </w:tc>
        <w:tc>
          <w:tcPr>
            <w:tcW w:w="1417" w:type="dxa"/>
            <w:vMerge w:val="restart"/>
            <w:tcBorders>
              <w:top w:val="nil"/>
              <w:left w:val="nil"/>
              <w:bottom w:val="nil"/>
              <w:right w:val="nil"/>
            </w:tcBorders>
            <w:shd w:val="clear" w:color="auto" w:fill="auto"/>
            <w:noWrap/>
            <w:vAlign w:val="center"/>
            <w:hideMark/>
          </w:tcPr>
          <w:p w14:paraId="2AE9D0D3" w14:textId="7C50EA83" w:rsidR="000C71D9" w:rsidRPr="00400BAB" w:rsidRDefault="000C71D9" w:rsidP="00522AFB">
            <w:pPr>
              <w:jc w:val="right"/>
              <w:rPr>
                <w:rFonts w:ascii="Arial" w:hAnsi="Arial" w:cs="Arial"/>
                <w:b/>
                <w:bCs/>
                <w:color w:val="000000"/>
                <w:sz w:val="20"/>
                <w:szCs w:val="20"/>
              </w:rPr>
            </w:pPr>
            <w:r w:rsidRPr="00400BAB">
              <w:rPr>
                <w:rFonts w:ascii="Arial" w:hAnsi="Arial" w:cs="Arial"/>
                <w:b/>
                <w:bCs/>
                <w:color w:val="000000"/>
                <w:sz w:val="20"/>
                <w:szCs w:val="20"/>
              </w:rPr>
              <w:t>2</w:t>
            </w:r>
            <w:r w:rsidR="00775B48" w:rsidRPr="00400BAB">
              <w:rPr>
                <w:rFonts w:ascii="Arial" w:hAnsi="Arial" w:cs="Arial"/>
                <w:b/>
                <w:bCs/>
                <w:color w:val="000000"/>
                <w:sz w:val="20"/>
                <w:szCs w:val="20"/>
              </w:rPr>
              <w:t>2</w:t>
            </w:r>
            <w:r w:rsidRPr="00400BAB">
              <w:rPr>
                <w:rFonts w:ascii="Arial" w:hAnsi="Arial" w:cs="Arial"/>
                <w:b/>
                <w:bCs/>
                <w:color w:val="000000"/>
                <w:sz w:val="20"/>
                <w:szCs w:val="20"/>
              </w:rPr>
              <w:t>%</w:t>
            </w:r>
          </w:p>
        </w:tc>
      </w:tr>
      <w:tr w:rsidR="000C71D9" w14:paraId="6C12C05E" w14:textId="77777777" w:rsidTr="00522AFB">
        <w:trPr>
          <w:trHeight w:val="300"/>
        </w:trPr>
        <w:tc>
          <w:tcPr>
            <w:tcW w:w="3640" w:type="dxa"/>
            <w:tcBorders>
              <w:top w:val="nil"/>
              <w:left w:val="nil"/>
              <w:bottom w:val="nil"/>
              <w:right w:val="nil"/>
            </w:tcBorders>
            <w:shd w:val="clear" w:color="auto" w:fill="auto"/>
            <w:noWrap/>
            <w:vAlign w:val="center"/>
            <w:hideMark/>
          </w:tcPr>
          <w:p w14:paraId="106D274A" w14:textId="77777777" w:rsidR="000C71D9" w:rsidRDefault="000C71D9" w:rsidP="00522AFB">
            <w:pPr>
              <w:rPr>
                <w:rFonts w:ascii="Arial" w:hAnsi="Arial" w:cs="Arial"/>
                <w:color w:val="000000"/>
                <w:sz w:val="20"/>
                <w:szCs w:val="20"/>
              </w:rPr>
            </w:pPr>
            <w:r w:rsidRPr="00400BAB">
              <w:rPr>
                <w:rFonts w:ascii="Arial" w:hAnsi="Arial" w:cs="Arial"/>
                <w:color w:val="000000"/>
                <w:sz w:val="20"/>
                <w:szCs w:val="20"/>
              </w:rPr>
              <w:t>(</w:t>
            </w:r>
            <w:proofErr w:type="gramStart"/>
            <w:r w:rsidRPr="00400BAB">
              <w:rPr>
                <w:rFonts w:ascii="Arial" w:hAnsi="Arial" w:cs="Arial"/>
                <w:color w:val="000000"/>
                <w:sz w:val="20"/>
                <w:szCs w:val="20"/>
              </w:rPr>
              <w:t>being</w:t>
            </w:r>
            <w:proofErr w:type="gramEnd"/>
            <w:r w:rsidRPr="00400BAB">
              <w:rPr>
                <w:rFonts w:ascii="Arial" w:hAnsi="Arial" w:cs="Arial"/>
                <w:color w:val="000000"/>
                <w:sz w:val="20"/>
                <w:szCs w:val="20"/>
              </w:rPr>
              <w:t xml:space="preserve"> Total Capital/Total Exposures)</w:t>
            </w:r>
          </w:p>
        </w:tc>
        <w:tc>
          <w:tcPr>
            <w:tcW w:w="1501" w:type="dxa"/>
            <w:vMerge/>
            <w:tcBorders>
              <w:top w:val="nil"/>
              <w:left w:val="nil"/>
              <w:bottom w:val="nil"/>
              <w:right w:val="nil"/>
            </w:tcBorders>
            <w:vAlign w:val="center"/>
            <w:hideMark/>
          </w:tcPr>
          <w:p w14:paraId="468904DE" w14:textId="77777777" w:rsidR="000C71D9" w:rsidRDefault="000C71D9" w:rsidP="00522AFB">
            <w:pPr>
              <w:rPr>
                <w:rFonts w:ascii="Arial" w:hAnsi="Arial" w:cs="Arial"/>
                <w:b/>
                <w:bCs/>
                <w:color w:val="000000"/>
                <w:sz w:val="20"/>
                <w:szCs w:val="20"/>
              </w:rPr>
            </w:pPr>
          </w:p>
        </w:tc>
        <w:tc>
          <w:tcPr>
            <w:tcW w:w="955" w:type="dxa"/>
            <w:vMerge/>
            <w:tcBorders>
              <w:top w:val="nil"/>
              <w:left w:val="nil"/>
              <w:bottom w:val="nil"/>
              <w:right w:val="nil"/>
            </w:tcBorders>
            <w:vAlign w:val="center"/>
            <w:hideMark/>
          </w:tcPr>
          <w:p w14:paraId="118CA154" w14:textId="77777777" w:rsidR="000C71D9" w:rsidRDefault="000C71D9" w:rsidP="00522AFB">
            <w:pPr>
              <w:rPr>
                <w:sz w:val="20"/>
                <w:szCs w:val="20"/>
              </w:rPr>
            </w:pPr>
          </w:p>
        </w:tc>
        <w:tc>
          <w:tcPr>
            <w:tcW w:w="1417" w:type="dxa"/>
            <w:vMerge/>
            <w:tcBorders>
              <w:top w:val="nil"/>
              <w:left w:val="nil"/>
              <w:bottom w:val="nil"/>
              <w:right w:val="nil"/>
            </w:tcBorders>
            <w:vAlign w:val="center"/>
            <w:hideMark/>
          </w:tcPr>
          <w:p w14:paraId="5B15BD79" w14:textId="77777777" w:rsidR="000C71D9" w:rsidRDefault="000C71D9" w:rsidP="00522AFB">
            <w:pPr>
              <w:rPr>
                <w:rFonts w:ascii="Arial" w:hAnsi="Arial" w:cs="Arial"/>
                <w:b/>
                <w:bCs/>
                <w:color w:val="000000"/>
                <w:sz w:val="20"/>
                <w:szCs w:val="20"/>
              </w:rPr>
            </w:pPr>
          </w:p>
        </w:tc>
      </w:tr>
    </w:tbl>
    <w:p w14:paraId="5F0FFC16" w14:textId="76A3DF58" w:rsidR="00C63A7D" w:rsidRDefault="00C63A7D" w:rsidP="00C63A7D">
      <w:pPr>
        <w:rPr>
          <w:rFonts w:ascii="Arial" w:eastAsia="TimesNewRomanPSMT-Identity-H" w:hAnsi="Arial" w:cs="TimesNewRomanPSMT-Identity-H"/>
          <w:sz w:val="20"/>
          <w:szCs w:val="20"/>
        </w:rPr>
      </w:pPr>
    </w:p>
    <w:p w14:paraId="5F1D58D1" w14:textId="03E523D8" w:rsidR="007C7B00" w:rsidRDefault="000C71D9" w:rsidP="00C63A7D">
      <w:pPr>
        <w:rPr>
          <w:rFonts w:ascii="Arial" w:eastAsia="TimesNewRomanPSMT-Identity-H" w:hAnsi="Arial" w:cs="TimesNewRomanPSMT-Identity-H"/>
          <w:sz w:val="20"/>
          <w:szCs w:val="20"/>
        </w:rPr>
      </w:pPr>
      <w:r>
        <w:rPr>
          <w:rFonts w:ascii="Arial" w:eastAsia="TimesNewRomanPSMT-Identity-H" w:hAnsi="Arial" w:cs="TimesNewRomanPSMT-Identity-H"/>
          <w:sz w:val="20"/>
          <w:szCs w:val="20"/>
        </w:rPr>
        <w:br w:type="page"/>
      </w:r>
    </w:p>
    <w:tbl>
      <w:tblPr>
        <w:tblW w:w="7371" w:type="dxa"/>
        <w:tblLook w:val="04A0" w:firstRow="1" w:lastRow="0" w:firstColumn="1" w:lastColumn="0" w:noHBand="0" w:noVBand="1"/>
      </w:tblPr>
      <w:tblGrid>
        <w:gridCol w:w="3640"/>
        <w:gridCol w:w="1501"/>
        <w:gridCol w:w="839"/>
        <w:gridCol w:w="1391"/>
      </w:tblGrid>
      <w:tr w:rsidR="006A47F1" w14:paraId="33B23E13" w14:textId="77777777" w:rsidTr="006A47F1">
        <w:trPr>
          <w:trHeight w:val="300"/>
        </w:trPr>
        <w:tc>
          <w:tcPr>
            <w:tcW w:w="3640" w:type="dxa"/>
            <w:tcBorders>
              <w:top w:val="nil"/>
              <w:left w:val="nil"/>
              <w:bottom w:val="nil"/>
              <w:right w:val="nil"/>
            </w:tcBorders>
            <w:shd w:val="clear" w:color="auto" w:fill="auto"/>
            <w:noWrap/>
            <w:vAlign w:val="center"/>
            <w:hideMark/>
          </w:tcPr>
          <w:p w14:paraId="704CF8FA" w14:textId="77777777" w:rsidR="006A47F1" w:rsidRDefault="006A47F1">
            <w:pPr>
              <w:rPr>
                <w:rFonts w:ascii="Arial" w:hAnsi="Arial" w:cs="Arial"/>
                <w:b/>
                <w:bCs/>
                <w:color w:val="000000"/>
                <w:sz w:val="20"/>
                <w:szCs w:val="20"/>
              </w:rPr>
            </w:pPr>
            <w:r>
              <w:rPr>
                <w:rFonts w:ascii="Arial" w:hAnsi="Arial" w:cs="Arial"/>
                <w:b/>
                <w:bCs/>
                <w:color w:val="000000"/>
                <w:sz w:val="20"/>
                <w:szCs w:val="20"/>
              </w:rPr>
              <w:lastRenderedPageBreak/>
              <w:t>Capital ratio</w:t>
            </w:r>
          </w:p>
        </w:tc>
        <w:tc>
          <w:tcPr>
            <w:tcW w:w="1501" w:type="dxa"/>
            <w:tcBorders>
              <w:top w:val="nil"/>
              <w:left w:val="nil"/>
              <w:bottom w:val="nil"/>
              <w:right w:val="nil"/>
            </w:tcBorders>
            <w:shd w:val="clear" w:color="auto" w:fill="auto"/>
            <w:noWrap/>
            <w:vAlign w:val="bottom"/>
            <w:hideMark/>
          </w:tcPr>
          <w:p w14:paraId="53F8741F" w14:textId="77777777" w:rsidR="006A47F1" w:rsidRDefault="006A47F1">
            <w:pPr>
              <w:rPr>
                <w:rFonts w:ascii="Arial" w:hAnsi="Arial" w:cs="Arial"/>
                <w:b/>
                <w:bCs/>
                <w:color w:val="000000"/>
                <w:sz w:val="20"/>
                <w:szCs w:val="20"/>
              </w:rPr>
            </w:pPr>
          </w:p>
        </w:tc>
        <w:tc>
          <w:tcPr>
            <w:tcW w:w="839" w:type="dxa"/>
            <w:tcBorders>
              <w:top w:val="nil"/>
              <w:left w:val="nil"/>
              <w:bottom w:val="nil"/>
              <w:right w:val="nil"/>
            </w:tcBorders>
            <w:shd w:val="clear" w:color="auto" w:fill="auto"/>
            <w:noWrap/>
            <w:vAlign w:val="bottom"/>
            <w:hideMark/>
          </w:tcPr>
          <w:p w14:paraId="7D8BB947" w14:textId="77777777" w:rsidR="006A47F1" w:rsidRDefault="006A47F1">
            <w:pPr>
              <w:rPr>
                <w:sz w:val="20"/>
                <w:szCs w:val="20"/>
              </w:rPr>
            </w:pPr>
          </w:p>
        </w:tc>
        <w:tc>
          <w:tcPr>
            <w:tcW w:w="1391" w:type="dxa"/>
            <w:tcBorders>
              <w:top w:val="nil"/>
              <w:left w:val="nil"/>
              <w:bottom w:val="nil"/>
              <w:right w:val="nil"/>
            </w:tcBorders>
            <w:shd w:val="clear" w:color="auto" w:fill="auto"/>
            <w:noWrap/>
            <w:vAlign w:val="bottom"/>
            <w:hideMark/>
          </w:tcPr>
          <w:p w14:paraId="744FC7D5" w14:textId="77777777" w:rsidR="006A47F1" w:rsidRDefault="006A47F1">
            <w:pPr>
              <w:rPr>
                <w:sz w:val="20"/>
                <w:szCs w:val="20"/>
              </w:rPr>
            </w:pPr>
          </w:p>
        </w:tc>
      </w:tr>
      <w:tr w:rsidR="006A47F1" w14:paraId="5646E2F5" w14:textId="77777777" w:rsidTr="006A47F1">
        <w:trPr>
          <w:trHeight w:val="300"/>
        </w:trPr>
        <w:tc>
          <w:tcPr>
            <w:tcW w:w="3640" w:type="dxa"/>
            <w:tcBorders>
              <w:top w:val="nil"/>
              <w:left w:val="nil"/>
              <w:bottom w:val="nil"/>
              <w:right w:val="nil"/>
            </w:tcBorders>
            <w:shd w:val="clear" w:color="auto" w:fill="auto"/>
            <w:noWrap/>
            <w:vAlign w:val="center"/>
            <w:hideMark/>
          </w:tcPr>
          <w:p w14:paraId="580436F1" w14:textId="77777777" w:rsidR="006A47F1" w:rsidRDefault="006A47F1">
            <w:pPr>
              <w:rPr>
                <w:sz w:val="20"/>
                <w:szCs w:val="20"/>
              </w:rPr>
            </w:pPr>
          </w:p>
        </w:tc>
        <w:tc>
          <w:tcPr>
            <w:tcW w:w="1501" w:type="dxa"/>
            <w:tcBorders>
              <w:top w:val="nil"/>
              <w:left w:val="nil"/>
              <w:bottom w:val="nil"/>
              <w:right w:val="nil"/>
            </w:tcBorders>
            <w:shd w:val="clear" w:color="auto" w:fill="auto"/>
            <w:noWrap/>
            <w:vAlign w:val="bottom"/>
            <w:hideMark/>
          </w:tcPr>
          <w:p w14:paraId="34BCA5CD" w14:textId="77777777" w:rsidR="006A47F1" w:rsidRDefault="006A47F1">
            <w:pPr>
              <w:rPr>
                <w:sz w:val="20"/>
                <w:szCs w:val="20"/>
              </w:rPr>
            </w:pPr>
          </w:p>
        </w:tc>
        <w:tc>
          <w:tcPr>
            <w:tcW w:w="839" w:type="dxa"/>
            <w:tcBorders>
              <w:top w:val="nil"/>
              <w:left w:val="nil"/>
              <w:bottom w:val="nil"/>
              <w:right w:val="nil"/>
            </w:tcBorders>
            <w:shd w:val="clear" w:color="auto" w:fill="auto"/>
            <w:noWrap/>
            <w:vAlign w:val="bottom"/>
            <w:hideMark/>
          </w:tcPr>
          <w:p w14:paraId="443172AD" w14:textId="77777777" w:rsidR="006A47F1" w:rsidRDefault="006A47F1">
            <w:pPr>
              <w:rPr>
                <w:sz w:val="20"/>
                <w:szCs w:val="20"/>
              </w:rPr>
            </w:pPr>
          </w:p>
        </w:tc>
        <w:tc>
          <w:tcPr>
            <w:tcW w:w="1391" w:type="dxa"/>
            <w:tcBorders>
              <w:top w:val="nil"/>
              <w:left w:val="nil"/>
              <w:bottom w:val="nil"/>
              <w:right w:val="nil"/>
            </w:tcBorders>
            <w:shd w:val="clear" w:color="auto" w:fill="auto"/>
            <w:noWrap/>
            <w:vAlign w:val="bottom"/>
            <w:hideMark/>
          </w:tcPr>
          <w:p w14:paraId="38094272" w14:textId="77777777" w:rsidR="006A47F1" w:rsidRDefault="006A47F1">
            <w:pPr>
              <w:rPr>
                <w:sz w:val="20"/>
                <w:szCs w:val="20"/>
              </w:rPr>
            </w:pPr>
          </w:p>
        </w:tc>
      </w:tr>
      <w:tr w:rsidR="006A47F1" w14:paraId="083417EF" w14:textId="77777777" w:rsidTr="006A47F1">
        <w:trPr>
          <w:trHeight w:val="300"/>
        </w:trPr>
        <w:tc>
          <w:tcPr>
            <w:tcW w:w="3640" w:type="dxa"/>
            <w:tcBorders>
              <w:top w:val="nil"/>
              <w:left w:val="nil"/>
              <w:bottom w:val="nil"/>
              <w:right w:val="nil"/>
            </w:tcBorders>
            <w:shd w:val="clear" w:color="auto" w:fill="auto"/>
            <w:noWrap/>
            <w:vAlign w:val="center"/>
            <w:hideMark/>
          </w:tcPr>
          <w:p w14:paraId="787DBF25" w14:textId="2B66815F" w:rsidR="006A47F1" w:rsidRDefault="006A47F1">
            <w:pPr>
              <w:rPr>
                <w:rFonts w:ascii="Arial" w:hAnsi="Arial" w:cs="Arial"/>
                <w:color w:val="000000"/>
                <w:sz w:val="20"/>
                <w:szCs w:val="20"/>
              </w:rPr>
            </w:pPr>
            <w:r>
              <w:rPr>
                <w:rFonts w:ascii="Arial" w:hAnsi="Arial" w:cs="Arial"/>
                <w:color w:val="000000"/>
                <w:sz w:val="20"/>
                <w:szCs w:val="20"/>
              </w:rPr>
              <w:t xml:space="preserve">Position </w:t>
            </w:r>
            <w:proofErr w:type="gramStart"/>
            <w:r>
              <w:rPr>
                <w:rFonts w:ascii="Arial" w:hAnsi="Arial" w:cs="Arial"/>
                <w:color w:val="000000"/>
                <w:sz w:val="20"/>
                <w:szCs w:val="20"/>
              </w:rPr>
              <w:t>at</w:t>
            </w:r>
            <w:proofErr w:type="gramEnd"/>
            <w:r>
              <w:rPr>
                <w:rFonts w:ascii="Arial" w:hAnsi="Arial" w:cs="Arial"/>
                <w:color w:val="000000"/>
                <w:sz w:val="20"/>
                <w:szCs w:val="20"/>
              </w:rPr>
              <w:t xml:space="preserve"> 31 March 202</w:t>
            </w:r>
            <w:r w:rsidR="00C751E2">
              <w:rPr>
                <w:rFonts w:ascii="Arial" w:hAnsi="Arial" w:cs="Arial"/>
                <w:color w:val="000000"/>
                <w:sz w:val="20"/>
                <w:szCs w:val="20"/>
              </w:rPr>
              <w:t>2</w:t>
            </w:r>
          </w:p>
        </w:tc>
        <w:tc>
          <w:tcPr>
            <w:tcW w:w="1501" w:type="dxa"/>
            <w:tcBorders>
              <w:top w:val="nil"/>
              <w:left w:val="nil"/>
              <w:bottom w:val="nil"/>
              <w:right w:val="nil"/>
            </w:tcBorders>
            <w:shd w:val="clear" w:color="auto" w:fill="auto"/>
            <w:noWrap/>
            <w:vAlign w:val="bottom"/>
            <w:hideMark/>
          </w:tcPr>
          <w:p w14:paraId="0B1AEF19" w14:textId="77777777" w:rsidR="006A47F1" w:rsidRDefault="006A47F1">
            <w:pPr>
              <w:rPr>
                <w:rFonts w:ascii="Arial" w:hAnsi="Arial" w:cs="Arial"/>
                <w:color w:val="000000"/>
                <w:sz w:val="20"/>
                <w:szCs w:val="20"/>
              </w:rPr>
            </w:pPr>
          </w:p>
        </w:tc>
        <w:tc>
          <w:tcPr>
            <w:tcW w:w="839" w:type="dxa"/>
            <w:tcBorders>
              <w:top w:val="nil"/>
              <w:left w:val="nil"/>
              <w:bottom w:val="nil"/>
              <w:right w:val="nil"/>
            </w:tcBorders>
            <w:shd w:val="clear" w:color="auto" w:fill="auto"/>
            <w:noWrap/>
            <w:vAlign w:val="bottom"/>
            <w:hideMark/>
          </w:tcPr>
          <w:p w14:paraId="235340EA" w14:textId="77777777" w:rsidR="006A47F1" w:rsidRDefault="006A47F1">
            <w:pPr>
              <w:rPr>
                <w:sz w:val="20"/>
                <w:szCs w:val="20"/>
              </w:rPr>
            </w:pPr>
          </w:p>
        </w:tc>
        <w:tc>
          <w:tcPr>
            <w:tcW w:w="1391" w:type="dxa"/>
            <w:tcBorders>
              <w:top w:val="nil"/>
              <w:left w:val="nil"/>
              <w:bottom w:val="nil"/>
              <w:right w:val="nil"/>
            </w:tcBorders>
            <w:shd w:val="clear" w:color="auto" w:fill="auto"/>
            <w:noWrap/>
            <w:vAlign w:val="bottom"/>
            <w:hideMark/>
          </w:tcPr>
          <w:p w14:paraId="4BEE18A4" w14:textId="77777777" w:rsidR="006A47F1" w:rsidRDefault="006A47F1">
            <w:pPr>
              <w:rPr>
                <w:sz w:val="20"/>
                <w:szCs w:val="20"/>
              </w:rPr>
            </w:pPr>
          </w:p>
        </w:tc>
      </w:tr>
      <w:tr w:rsidR="006A47F1" w14:paraId="72F021E7" w14:textId="77777777" w:rsidTr="006A47F1">
        <w:trPr>
          <w:trHeight w:val="300"/>
        </w:trPr>
        <w:tc>
          <w:tcPr>
            <w:tcW w:w="3640" w:type="dxa"/>
            <w:tcBorders>
              <w:top w:val="nil"/>
              <w:left w:val="nil"/>
              <w:bottom w:val="nil"/>
              <w:right w:val="nil"/>
            </w:tcBorders>
            <w:shd w:val="clear" w:color="auto" w:fill="auto"/>
            <w:noWrap/>
            <w:vAlign w:val="center"/>
            <w:hideMark/>
          </w:tcPr>
          <w:p w14:paraId="5186E2D2" w14:textId="77777777" w:rsidR="006A47F1" w:rsidRDefault="006A47F1">
            <w:pPr>
              <w:rPr>
                <w:sz w:val="20"/>
                <w:szCs w:val="20"/>
              </w:rPr>
            </w:pPr>
          </w:p>
        </w:tc>
        <w:tc>
          <w:tcPr>
            <w:tcW w:w="1501" w:type="dxa"/>
            <w:tcBorders>
              <w:top w:val="nil"/>
              <w:left w:val="nil"/>
              <w:bottom w:val="nil"/>
              <w:right w:val="nil"/>
            </w:tcBorders>
            <w:shd w:val="clear" w:color="auto" w:fill="auto"/>
            <w:noWrap/>
            <w:vAlign w:val="bottom"/>
            <w:hideMark/>
          </w:tcPr>
          <w:p w14:paraId="3EB87891" w14:textId="77777777" w:rsidR="006A47F1" w:rsidRDefault="006A47F1">
            <w:pPr>
              <w:rPr>
                <w:sz w:val="20"/>
                <w:szCs w:val="20"/>
              </w:rPr>
            </w:pPr>
          </w:p>
        </w:tc>
        <w:tc>
          <w:tcPr>
            <w:tcW w:w="839" w:type="dxa"/>
            <w:tcBorders>
              <w:top w:val="nil"/>
              <w:left w:val="nil"/>
              <w:bottom w:val="nil"/>
              <w:right w:val="nil"/>
            </w:tcBorders>
            <w:shd w:val="clear" w:color="auto" w:fill="auto"/>
            <w:noWrap/>
            <w:vAlign w:val="bottom"/>
            <w:hideMark/>
          </w:tcPr>
          <w:p w14:paraId="45F62A31" w14:textId="77777777" w:rsidR="006A47F1" w:rsidRDefault="006A47F1">
            <w:pPr>
              <w:rPr>
                <w:sz w:val="20"/>
                <w:szCs w:val="20"/>
              </w:rPr>
            </w:pPr>
          </w:p>
        </w:tc>
        <w:tc>
          <w:tcPr>
            <w:tcW w:w="1391" w:type="dxa"/>
            <w:tcBorders>
              <w:top w:val="nil"/>
              <w:left w:val="nil"/>
              <w:bottom w:val="nil"/>
              <w:right w:val="nil"/>
            </w:tcBorders>
            <w:shd w:val="clear" w:color="auto" w:fill="auto"/>
            <w:noWrap/>
            <w:vAlign w:val="bottom"/>
            <w:hideMark/>
          </w:tcPr>
          <w:p w14:paraId="0FBD79A3" w14:textId="77777777" w:rsidR="006A47F1" w:rsidRDefault="006A47F1">
            <w:pPr>
              <w:rPr>
                <w:sz w:val="20"/>
                <w:szCs w:val="20"/>
              </w:rPr>
            </w:pPr>
          </w:p>
        </w:tc>
      </w:tr>
      <w:tr w:rsidR="006A47F1" w14:paraId="62FE2C14" w14:textId="77777777" w:rsidTr="006A47F1">
        <w:trPr>
          <w:trHeight w:val="300"/>
        </w:trPr>
        <w:tc>
          <w:tcPr>
            <w:tcW w:w="3640" w:type="dxa"/>
            <w:tcBorders>
              <w:top w:val="nil"/>
              <w:left w:val="nil"/>
              <w:bottom w:val="nil"/>
              <w:right w:val="nil"/>
            </w:tcBorders>
            <w:shd w:val="clear" w:color="auto" w:fill="auto"/>
            <w:noWrap/>
            <w:vAlign w:val="center"/>
            <w:hideMark/>
          </w:tcPr>
          <w:p w14:paraId="015183E6" w14:textId="77777777" w:rsidR="006A47F1" w:rsidRDefault="006A47F1">
            <w:pPr>
              <w:rPr>
                <w:rFonts w:ascii="Arial" w:hAnsi="Arial" w:cs="Arial"/>
                <w:b/>
                <w:bCs/>
                <w:color w:val="000000"/>
                <w:sz w:val="20"/>
                <w:szCs w:val="20"/>
              </w:rPr>
            </w:pPr>
            <w:r>
              <w:rPr>
                <w:rFonts w:ascii="Arial" w:hAnsi="Arial" w:cs="Arial"/>
                <w:b/>
                <w:bCs/>
                <w:color w:val="000000"/>
                <w:sz w:val="20"/>
                <w:szCs w:val="20"/>
              </w:rPr>
              <w:t>Capital</w:t>
            </w:r>
          </w:p>
        </w:tc>
        <w:tc>
          <w:tcPr>
            <w:tcW w:w="1501" w:type="dxa"/>
            <w:tcBorders>
              <w:top w:val="nil"/>
              <w:left w:val="nil"/>
              <w:bottom w:val="nil"/>
              <w:right w:val="nil"/>
            </w:tcBorders>
            <w:shd w:val="clear" w:color="auto" w:fill="auto"/>
            <w:noWrap/>
            <w:vAlign w:val="center"/>
            <w:hideMark/>
          </w:tcPr>
          <w:p w14:paraId="2F3DAE1A" w14:textId="77777777" w:rsidR="006A47F1" w:rsidRDefault="006A47F1">
            <w:pPr>
              <w:rPr>
                <w:rFonts w:ascii="Arial" w:hAnsi="Arial" w:cs="Arial"/>
                <w:b/>
                <w:bCs/>
                <w:color w:val="000000"/>
                <w:sz w:val="20"/>
                <w:szCs w:val="20"/>
              </w:rPr>
            </w:pPr>
          </w:p>
        </w:tc>
        <w:tc>
          <w:tcPr>
            <w:tcW w:w="839" w:type="dxa"/>
            <w:tcBorders>
              <w:top w:val="nil"/>
              <w:left w:val="nil"/>
              <w:bottom w:val="nil"/>
              <w:right w:val="nil"/>
            </w:tcBorders>
            <w:shd w:val="clear" w:color="auto" w:fill="auto"/>
            <w:noWrap/>
            <w:vAlign w:val="center"/>
            <w:hideMark/>
          </w:tcPr>
          <w:p w14:paraId="6C4CE0FA" w14:textId="77777777" w:rsidR="006A47F1" w:rsidRDefault="006A47F1">
            <w:pPr>
              <w:rPr>
                <w:sz w:val="20"/>
                <w:szCs w:val="20"/>
              </w:rPr>
            </w:pPr>
          </w:p>
        </w:tc>
        <w:tc>
          <w:tcPr>
            <w:tcW w:w="1391" w:type="dxa"/>
            <w:tcBorders>
              <w:top w:val="nil"/>
              <w:left w:val="nil"/>
              <w:bottom w:val="nil"/>
              <w:right w:val="nil"/>
            </w:tcBorders>
            <w:shd w:val="clear" w:color="auto" w:fill="auto"/>
            <w:noWrap/>
            <w:vAlign w:val="center"/>
            <w:hideMark/>
          </w:tcPr>
          <w:p w14:paraId="5C5FD1BD" w14:textId="77777777" w:rsidR="006A47F1" w:rsidRDefault="006A47F1">
            <w:pPr>
              <w:rPr>
                <w:sz w:val="20"/>
                <w:szCs w:val="20"/>
              </w:rPr>
            </w:pPr>
          </w:p>
        </w:tc>
      </w:tr>
      <w:tr w:rsidR="006A47F1" w14:paraId="1564784F" w14:textId="77777777" w:rsidTr="006A47F1">
        <w:trPr>
          <w:trHeight w:val="300"/>
        </w:trPr>
        <w:tc>
          <w:tcPr>
            <w:tcW w:w="3640" w:type="dxa"/>
            <w:tcBorders>
              <w:top w:val="nil"/>
              <w:left w:val="nil"/>
              <w:bottom w:val="nil"/>
              <w:right w:val="nil"/>
            </w:tcBorders>
            <w:shd w:val="clear" w:color="auto" w:fill="auto"/>
            <w:noWrap/>
            <w:vAlign w:val="center"/>
            <w:hideMark/>
          </w:tcPr>
          <w:p w14:paraId="4BEDF519" w14:textId="77777777" w:rsidR="006A47F1" w:rsidRDefault="006A47F1">
            <w:pPr>
              <w:rPr>
                <w:sz w:val="20"/>
                <w:szCs w:val="20"/>
              </w:rPr>
            </w:pPr>
          </w:p>
        </w:tc>
        <w:tc>
          <w:tcPr>
            <w:tcW w:w="1501" w:type="dxa"/>
            <w:tcBorders>
              <w:top w:val="nil"/>
              <w:left w:val="nil"/>
              <w:bottom w:val="nil"/>
              <w:right w:val="nil"/>
            </w:tcBorders>
            <w:shd w:val="clear" w:color="auto" w:fill="auto"/>
            <w:noWrap/>
            <w:vAlign w:val="center"/>
            <w:hideMark/>
          </w:tcPr>
          <w:p w14:paraId="02E0A743" w14:textId="77777777" w:rsidR="006A47F1" w:rsidRDefault="006A47F1">
            <w:pPr>
              <w:rPr>
                <w:sz w:val="20"/>
                <w:szCs w:val="20"/>
              </w:rPr>
            </w:pPr>
          </w:p>
        </w:tc>
        <w:tc>
          <w:tcPr>
            <w:tcW w:w="839" w:type="dxa"/>
            <w:tcBorders>
              <w:top w:val="nil"/>
              <w:left w:val="nil"/>
              <w:bottom w:val="nil"/>
              <w:right w:val="nil"/>
            </w:tcBorders>
            <w:shd w:val="clear" w:color="auto" w:fill="auto"/>
            <w:noWrap/>
            <w:vAlign w:val="center"/>
            <w:hideMark/>
          </w:tcPr>
          <w:p w14:paraId="7F7D6D62" w14:textId="77777777" w:rsidR="006A47F1" w:rsidRDefault="006A47F1">
            <w:pPr>
              <w:rPr>
                <w:sz w:val="20"/>
                <w:szCs w:val="20"/>
              </w:rPr>
            </w:pPr>
          </w:p>
        </w:tc>
        <w:tc>
          <w:tcPr>
            <w:tcW w:w="1391" w:type="dxa"/>
            <w:tcBorders>
              <w:top w:val="nil"/>
              <w:left w:val="nil"/>
              <w:bottom w:val="nil"/>
              <w:right w:val="nil"/>
            </w:tcBorders>
            <w:shd w:val="clear" w:color="auto" w:fill="auto"/>
            <w:noWrap/>
            <w:vAlign w:val="center"/>
            <w:hideMark/>
          </w:tcPr>
          <w:p w14:paraId="09DA43B7" w14:textId="77777777" w:rsidR="006A47F1" w:rsidRDefault="006A47F1">
            <w:pPr>
              <w:rPr>
                <w:sz w:val="20"/>
                <w:szCs w:val="20"/>
              </w:rPr>
            </w:pPr>
          </w:p>
        </w:tc>
      </w:tr>
      <w:tr w:rsidR="006A47F1" w14:paraId="1970B624" w14:textId="77777777" w:rsidTr="006A47F1">
        <w:trPr>
          <w:trHeight w:val="300"/>
        </w:trPr>
        <w:tc>
          <w:tcPr>
            <w:tcW w:w="3640" w:type="dxa"/>
            <w:tcBorders>
              <w:top w:val="nil"/>
              <w:left w:val="nil"/>
              <w:bottom w:val="nil"/>
              <w:right w:val="nil"/>
            </w:tcBorders>
            <w:shd w:val="clear" w:color="auto" w:fill="auto"/>
            <w:noWrap/>
            <w:vAlign w:val="center"/>
            <w:hideMark/>
          </w:tcPr>
          <w:p w14:paraId="4A682459" w14:textId="77777777" w:rsidR="006A47F1" w:rsidRDefault="006A47F1">
            <w:pPr>
              <w:rPr>
                <w:rFonts w:ascii="Arial" w:hAnsi="Arial" w:cs="Arial"/>
                <w:color w:val="000000"/>
                <w:sz w:val="20"/>
                <w:szCs w:val="20"/>
              </w:rPr>
            </w:pPr>
            <w:r>
              <w:rPr>
                <w:rFonts w:ascii="Arial" w:hAnsi="Arial" w:cs="Arial"/>
                <w:color w:val="000000"/>
                <w:sz w:val="20"/>
                <w:szCs w:val="20"/>
              </w:rPr>
              <w:t>Gross capital</w:t>
            </w:r>
          </w:p>
        </w:tc>
        <w:tc>
          <w:tcPr>
            <w:tcW w:w="1501" w:type="dxa"/>
            <w:tcBorders>
              <w:top w:val="nil"/>
              <w:left w:val="nil"/>
              <w:bottom w:val="nil"/>
              <w:right w:val="nil"/>
            </w:tcBorders>
            <w:shd w:val="clear" w:color="auto" w:fill="auto"/>
            <w:noWrap/>
            <w:vAlign w:val="center"/>
            <w:hideMark/>
          </w:tcPr>
          <w:p w14:paraId="18474646" w14:textId="40B429F9" w:rsidR="006A47F1" w:rsidRDefault="00C751E2">
            <w:pPr>
              <w:jc w:val="right"/>
              <w:rPr>
                <w:rFonts w:ascii="Arial" w:hAnsi="Arial" w:cs="Arial"/>
                <w:color w:val="000000"/>
                <w:sz w:val="20"/>
                <w:szCs w:val="20"/>
              </w:rPr>
            </w:pPr>
            <w:r>
              <w:rPr>
                <w:rFonts w:ascii="Arial" w:hAnsi="Arial" w:cs="Arial"/>
                <w:color w:val="000000"/>
                <w:sz w:val="20"/>
                <w:szCs w:val="20"/>
              </w:rPr>
              <w:t>9,743,002</w:t>
            </w:r>
          </w:p>
        </w:tc>
        <w:tc>
          <w:tcPr>
            <w:tcW w:w="839" w:type="dxa"/>
            <w:tcBorders>
              <w:top w:val="nil"/>
              <w:left w:val="nil"/>
              <w:bottom w:val="nil"/>
              <w:right w:val="nil"/>
            </w:tcBorders>
            <w:shd w:val="clear" w:color="auto" w:fill="auto"/>
            <w:noWrap/>
            <w:vAlign w:val="center"/>
            <w:hideMark/>
          </w:tcPr>
          <w:p w14:paraId="015F9A0A" w14:textId="77777777" w:rsidR="006A47F1" w:rsidRDefault="006A47F1">
            <w:pPr>
              <w:jc w:val="right"/>
              <w:rPr>
                <w:rFonts w:ascii="Arial" w:hAnsi="Arial" w:cs="Arial"/>
                <w:color w:val="000000"/>
                <w:sz w:val="20"/>
                <w:szCs w:val="20"/>
              </w:rPr>
            </w:pPr>
          </w:p>
        </w:tc>
        <w:tc>
          <w:tcPr>
            <w:tcW w:w="1391" w:type="dxa"/>
            <w:tcBorders>
              <w:top w:val="nil"/>
              <w:left w:val="nil"/>
              <w:bottom w:val="nil"/>
              <w:right w:val="nil"/>
            </w:tcBorders>
            <w:shd w:val="clear" w:color="auto" w:fill="auto"/>
            <w:noWrap/>
            <w:vAlign w:val="center"/>
            <w:hideMark/>
          </w:tcPr>
          <w:p w14:paraId="4BA5245C" w14:textId="77777777" w:rsidR="006A47F1" w:rsidRDefault="006A47F1">
            <w:pPr>
              <w:rPr>
                <w:sz w:val="20"/>
                <w:szCs w:val="20"/>
              </w:rPr>
            </w:pPr>
          </w:p>
        </w:tc>
      </w:tr>
      <w:tr w:rsidR="006A47F1" w14:paraId="7BF79DE3" w14:textId="77777777" w:rsidTr="006A47F1">
        <w:trPr>
          <w:trHeight w:val="315"/>
        </w:trPr>
        <w:tc>
          <w:tcPr>
            <w:tcW w:w="3640" w:type="dxa"/>
            <w:tcBorders>
              <w:top w:val="nil"/>
              <w:left w:val="nil"/>
              <w:bottom w:val="nil"/>
              <w:right w:val="nil"/>
            </w:tcBorders>
            <w:shd w:val="clear" w:color="auto" w:fill="auto"/>
            <w:noWrap/>
            <w:vAlign w:val="center"/>
            <w:hideMark/>
          </w:tcPr>
          <w:p w14:paraId="1408446B" w14:textId="77777777" w:rsidR="006A47F1" w:rsidRDefault="006A47F1">
            <w:pPr>
              <w:rPr>
                <w:rFonts w:ascii="Arial" w:hAnsi="Arial" w:cs="Arial"/>
                <w:color w:val="000000"/>
                <w:sz w:val="20"/>
                <w:szCs w:val="20"/>
              </w:rPr>
            </w:pPr>
            <w:r>
              <w:rPr>
                <w:rFonts w:ascii="Arial" w:hAnsi="Arial" w:cs="Arial"/>
                <w:color w:val="000000"/>
                <w:sz w:val="20"/>
                <w:szCs w:val="20"/>
              </w:rPr>
              <w:t>Less deductions</w:t>
            </w:r>
          </w:p>
        </w:tc>
        <w:tc>
          <w:tcPr>
            <w:tcW w:w="1501" w:type="dxa"/>
            <w:tcBorders>
              <w:top w:val="nil"/>
              <w:left w:val="nil"/>
              <w:bottom w:val="single" w:sz="8" w:space="0" w:color="auto"/>
              <w:right w:val="nil"/>
            </w:tcBorders>
            <w:shd w:val="clear" w:color="auto" w:fill="auto"/>
            <w:noWrap/>
            <w:vAlign w:val="center"/>
            <w:hideMark/>
          </w:tcPr>
          <w:p w14:paraId="1C357F56" w14:textId="7C3602B3" w:rsidR="006A47F1" w:rsidRDefault="00C751E2">
            <w:pPr>
              <w:jc w:val="right"/>
              <w:rPr>
                <w:rFonts w:ascii="Arial" w:hAnsi="Arial" w:cs="Arial"/>
                <w:color w:val="000000"/>
                <w:sz w:val="20"/>
                <w:szCs w:val="20"/>
              </w:rPr>
            </w:pPr>
            <w:r>
              <w:rPr>
                <w:rFonts w:ascii="Arial" w:hAnsi="Arial" w:cs="Arial"/>
                <w:color w:val="000000"/>
                <w:sz w:val="20"/>
                <w:szCs w:val="20"/>
              </w:rPr>
              <w:t>89,068</w:t>
            </w:r>
          </w:p>
        </w:tc>
        <w:tc>
          <w:tcPr>
            <w:tcW w:w="839" w:type="dxa"/>
            <w:tcBorders>
              <w:top w:val="nil"/>
              <w:left w:val="nil"/>
              <w:bottom w:val="nil"/>
              <w:right w:val="nil"/>
            </w:tcBorders>
            <w:shd w:val="clear" w:color="auto" w:fill="auto"/>
            <w:noWrap/>
            <w:vAlign w:val="center"/>
            <w:hideMark/>
          </w:tcPr>
          <w:p w14:paraId="4B62BE23" w14:textId="77777777" w:rsidR="006A47F1" w:rsidRDefault="006A47F1">
            <w:pPr>
              <w:jc w:val="right"/>
              <w:rPr>
                <w:rFonts w:ascii="Arial" w:hAnsi="Arial" w:cs="Arial"/>
                <w:color w:val="000000"/>
                <w:sz w:val="20"/>
                <w:szCs w:val="20"/>
              </w:rPr>
            </w:pPr>
          </w:p>
        </w:tc>
        <w:tc>
          <w:tcPr>
            <w:tcW w:w="1391" w:type="dxa"/>
            <w:tcBorders>
              <w:top w:val="nil"/>
              <w:left w:val="nil"/>
              <w:bottom w:val="nil"/>
              <w:right w:val="nil"/>
            </w:tcBorders>
            <w:shd w:val="clear" w:color="auto" w:fill="auto"/>
            <w:noWrap/>
            <w:vAlign w:val="center"/>
            <w:hideMark/>
          </w:tcPr>
          <w:p w14:paraId="262531E3" w14:textId="77777777" w:rsidR="006A47F1" w:rsidRDefault="006A47F1">
            <w:pPr>
              <w:rPr>
                <w:sz w:val="20"/>
                <w:szCs w:val="20"/>
              </w:rPr>
            </w:pPr>
          </w:p>
        </w:tc>
      </w:tr>
      <w:tr w:rsidR="006A47F1" w14:paraId="24425C2B" w14:textId="77777777" w:rsidTr="006A47F1">
        <w:trPr>
          <w:trHeight w:val="300"/>
        </w:trPr>
        <w:tc>
          <w:tcPr>
            <w:tcW w:w="3640" w:type="dxa"/>
            <w:tcBorders>
              <w:top w:val="nil"/>
              <w:left w:val="nil"/>
              <w:bottom w:val="nil"/>
              <w:right w:val="nil"/>
            </w:tcBorders>
            <w:shd w:val="clear" w:color="auto" w:fill="auto"/>
            <w:noWrap/>
            <w:vAlign w:val="center"/>
            <w:hideMark/>
          </w:tcPr>
          <w:p w14:paraId="65711828" w14:textId="77777777" w:rsidR="006A47F1" w:rsidRDefault="006A47F1">
            <w:pPr>
              <w:rPr>
                <w:rFonts w:ascii="Arial" w:hAnsi="Arial" w:cs="Arial"/>
                <w:color w:val="000000"/>
                <w:sz w:val="20"/>
                <w:szCs w:val="20"/>
              </w:rPr>
            </w:pPr>
            <w:r>
              <w:rPr>
                <w:rFonts w:ascii="Arial" w:hAnsi="Arial" w:cs="Arial"/>
                <w:color w:val="000000"/>
                <w:sz w:val="20"/>
                <w:szCs w:val="20"/>
              </w:rPr>
              <w:t>Total capital</w:t>
            </w:r>
          </w:p>
        </w:tc>
        <w:tc>
          <w:tcPr>
            <w:tcW w:w="1501" w:type="dxa"/>
            <w:tcBorders>
              <w:top w:val="nil"/>
              <w:left w:val="nil"/>
              <w:bottom w:val="nil"/>
              <w:right w:val="nil"/>
            </w:tcBorders>
            <w:shd w:val="clear" w:color="auto" w:fill="auto"/>
            <w:noWrap/>
            <w:vAlign w:val="center"/>
            <w:hideMark/>
          </w:tcPr>
          <w:p w14:paraId="3EB898C3" w14:textId="4DEDAA48" w:rsidR="006A47F1" w:rsidRDefault="00C751E2">
            <w:pPr>
              <w:jc w:val="right"/>
              <w:rPr>
                <w:rFonts w:ascii="Arial" w:hAnsi="Arial" w:cs="Arial"/>
                <w:color w:val="000000"/>
                <w:sz w:val="20"/>
                <w:szCs w:val="20"/>
              </w:rPr>
            </w:pPr>
            <w:r>
              <w:rPr>
                <w:rFonts w:ascii="Arial" w:hAnsi="Arial" w:cs="Arial"/>
                <w:color w:val="000000"/>
                <w:sz w:val="20"/>
                <w:szCs w:val="20"/>
              </w:rPr>
              <w:t>9,653,934</w:t>
            </w:r>
          </w:p>
        </w:tc>
        <w:tc>
          <w:tcPr>
            <w:tcW w:w="839" w:type="dxa"/>
            <w:tcBorders>
              <w:top w:val="nil"/>
              <w:left w:val="nil"/>
              <w:bottom w:val="nil"/>
              <w:right w:val="nil"/>
            </w:tcBorders>
            <w:shd w:val="clear" w:color="auto" w:fill="auto"/>
            <w:noWrap/>
            <w:vAlign w:val="center"/>
            <w:hideMark/>
          </w:tcPr>
          <w:p w14:paraId="4AC94FB3" w14:textId="77777777" w:rsidR="006A47F1" w:rsidRDefault="006A47F1">
            <w:pPr>
              <w:jc w:val="right"/>
              <w:rPr>
                <w:rFonts w:ascii="Arial" w:hAnsi="Arial" w:cs="Arial"/>
                <w:color w:val="000000"/>
                <w:sz w:val="20"/>
                <w:szCs w:val="20"/>
              </w:rPr>
            </w:pPr>
          </w:p>
        </w:tc>
        <w:tc>
          <w:tcPr>
            <w:tcW w:w="1391" w:type="dxa"/>
            <w:tcBorders>
              <w:top w:val="nil"/>
              <w:left w:val="nil"/>
              <w:bottom w:val="nil"/>
              <w:right w:val="nil"/>
            </w:tcBorders>
            <w:shd w:val="clear" w:color="auto" w:fill="auto"/>
            <w:noWrap/>
            <w:vAlign w:val="center"/>
            <w:hideMark/>
          </w:tcPr>
          <w:p w14:paraId="28035E38" w14:textId="77777777" w:rsidR="006A47F1" w:rsidRDefault="006A47F1">
            <w:pPr>
              <w:rPr>
                <w:sz w:val="20"/>
                <w:szCs w:val="20"/>
              </w:rPr>
            </w:pPr>
          </w:p>
        </w:tc>
      </w:tr>
      <w:tr w:rsidR="006A47F1" w14:paraId="74994186" w14:textId="77777777" w:rsidTr="006A47F1">
        <w:trPr>
          <w:trHeight w:val="300"/>
        </w:trPr>
        <w:tc>
          <w:tcPr>
            <w:tcW w:w="3640" w:type="dxa"/>
            <w:tcBorders>
              <w:top w:val="nil"/>
              <w:left w:val="nil"/>
              <w:bottom w:val="nil"/>
              <w:right w:val="nil"/>
            </w:tcBorders>
            <w:shd w:val="clear" w:color="auto" w:fill="auto"/>
            <w:noWrap/>
            <w:vAlign w:val="center"/>
            <w:hideMark/>
          </w:tcPr>
          <w:p w14:paraId="20D69E96" w14:textId="77777777" w:rsidR="006A47F1" w:rsidRDefault="006A47F1">
            <w:pPr>
              <w:rPr>
                <w:sz w:val="20"/>
                <w:szCs w:val="20"/>
              </w:rPr>
            </w:pPr>
          </w:p>
        </w:tc>
        <w:tc>
          <w:tcPr>
            <w:tcW w:w="1501" w:type="dxa"/>
            <w:tcBorders>
              <w:top w:val="nil"/>
              <w:left w:val="nil"/>
              <w:bottom w:val="nil"/>
              <w:right w:val="nil"/>
            </w:tcBorders>
            <w:shd w:val="clear" w:color="auto" w:fill="auto"/>
            <w:noWrap/>
            <w:vAlign w:val="center"/>
            <w:hideMark/>
          </w:tcPr>
          <w:p w14:paraId="648EA679" w14:textId="77777777" w:rsidR="006A47F1" w:rsidRDefault="006A47F1">
            <w:pPr>
              <w:rPr>
                <w:sz w:val="20"/>
                <w:szCs w:val="20"/>
              </w:rPr>
            </w:pPr>
          </w:p>
        </w:tc>
        <w:tc>
          <w:tcPr>
            <w:tcW w:w="839" w:type="dxa"/>
            <w:tcBorders>
              <w:top w:val="nil"/>
              <w:left w:val="nil"/>
              <w:bottom w:val="nil"/>
              <w:right w:val="nil"/>
            </w:tcBorders>
            <w:shd w:val="clear" w:color="auto" w:fill="auto"/>
            <w:noWrap/>
            <w:vAlign w:val="center"/>
            <w:hideMark/>
          </w:tcPr>
          <w:p w14:paraId="4F9562D2" w14:textId="77777777" w:rsidR="006A47F1" w:rsidRDefault="006A47F1">
            <w:pPr>
              <w:rPr>
                <w:sz w:val="20"/>
                <w:szCs w:val="20"/>
              </w:rPr>
            </w:pPr>
          </w:p>
        </w:tc>
        <w:tc>
          <w:tcPr>
            <w:tcW w:w="1391" w:type="dxa"/>
            <w:tcBorders>
              <w:top w:val="nil"/>
              <w:left w:val="nil"/>
              <w:bottom w:val="nil"/>
              <w:right w:val="nil"/>
            </w:tcBorders>
            <w:shd w:val="clear" w:color="auto" w:fill="auto"/>
            <w:noWrap/>
            <w:vAlign w:val="center"/>
            <w:hideMark/>
          </w:tcPr>
          <w:p w14:paraId="30FCFD96" w14:textId="77777777" w:rsidR="006A47F1" w:rsidRDefault="006A47F1">
            <w:pPr>
              <w:rPr>
                <w:sz w:val="20"/>
                <w:szCs w:val="20"/>
              </w:rPr>
            </w:pPr>
          </w:p>
        </w:tc>
      </w:tr>
      <w:tr w:rsidR="006A47F1" w14:paraId="7A016BDC" w14:textId="77777777" w:rsidTr="006A47F1">
        <w:trPr>
          <w:trHeight w:val="300"/>
        </w:trPr>
        <w:tc>
          <w:tcPr>
            <w:tcW w:w="3640" w:type="dxa"/>
            <w:tcBorders>
              <w:top w:val="nil"/>
              <w:left w:val="nil"/>
              <w:bottom w:val="nil"/>
              <w:right w:val="nil"/>
            </w:tcBorders>
            <w:shd w:val="clear" w:color="auto" w:fill="auto"/>
            <w:noWrap/>
            <w:vAlign w:val="center"/>
            <w:hideMark/>
          </w:tcPr>
          <w:p w14:paraId="3673B04F" w14:textId="77777777" w:rsidR="006A47F1" w:rsidRDefault="006A47F1">
            <w:pPr>
              <w:rPr>
                <w:sz w:val="20"/>
                <w:szCs w:val="20"/>
              </w:rPr>
            </w:pPr>
          </w:p>
        </w:tc>
        <w:tc>
          <w:tcPr>
            <w:tcW w:w="1501" w:type="dxa"/>
            <w:tcBorders>
              <w:top w:val="nil"/>
              <w:left w:val="nil"/>
              <w:bottom w:val="nil"/>
              <w:right w:val="nil"/>
            </w:tcBorders>
            <w:shd w:val="clear" w:color="auto" w:fill="auto"/>
            <w:noWrap/>
            <w:vAlign w:val="center"/>
            <w:hideMark/>
          </w:tcPr>
          <w:p w14:paraId="0F3F9FA4" w14:textId="77777777" w:rsidR="006A47F1" w:rsidRDefault="006A47F1">
            <w:pPr>
              <w:rPr>
                <w:sz w:val="20"/>
                <w:szCs w:val="20"/>
              </w:rPr>
            </w:pPr>
          </w:p>
        </w:tc>
        <w:tc>
          <w:tcPr>
            <w:tcW w:w="839" w:type="dxa"/>
            <w:tcBorders>
              <w:top w:val="nil"/>
              <w:left w:val="nil"/>
              <w:bottom w:val="nil"/>
              <w:right w:val="nil"/>
            </w:tcBorders>
            <w:shd w:val="clear" w:color="auto" w:fill="auto"/>
            <w:noWrap/>
            <w:vAlign w:val="center"/>
            <w:hideMark/>
          </w:tcPr>
          <w:p w14:paraId="16DC215C" w14:textId="77777777" w:rsidR="006A47F1" w:rsidRDefault="006A47F1">
            <w:pPr>
              <w:jc w:val="center"/>
              <w:rPr>
                <w:sz w:val="20"/>
                <w:szCs w:val="20"/>
              </w:rPr>
            </w:pPr>
          </w:p>
        </w:tc>
        <w:tc>
          <w:tcPr>
            <w:tcW w:w="1391" w:type="dxa"/>
            <w:tcBorders>
              <w:top w:val="nil"/>
              <w:left w:val="nil"/>
              <w:bottom w:val="nil"/>
              <w:right w:val="nil"/>
            </w:tcBorders>
            <w:shd w:val="clear" w:color="auto" w:fill="auto"/>
            <w:noWrap/>
            <w:vAlign w:val="center"/>
            <w:hideMark/>
          </w:tcPr>
          <w:p w14:paraId="15F8848A" w14:textId="77777777" w:rsidR="006A47F1" w:rsidRDefault="006A47F1">
            <w:pPr>
              <w:jc w:val="center"/>
              <w:rPr>
                <w:rFonts w:ascii="Arial" w:hAnsi="Arial" w:cs="Arial"/>
                <w:color w:val="000000"/>
                <w:sz w:val="20"/>
                <w:szCs w:val="20"/>
              </w:rPr>
            </w:pPr>
            <w:r>
              <w:rPr>
                <w:rFonts w:ascii="Arial" w:hAnsi="Arial" w:cs="Arial"/>
                <w:color w:val="000000"/>
                <w:sz w:val="20"/>
                <w:szCs w:val="20"/>
              </w:rPr>
              <w:t>Risk</w:t>
            </w:r>
          </w:p>
        </w:tc>
      </w:tr>
      <w:tr w:rsidR="006A47F1" w14:paraId="197475A9" w14:textId="77777777" w:rsidTr="006A47F1">
        <w:trPr>
          <w:trHeight w:val="300"/>
        </w:trPr>
        <w:tc>
          <w:tcPr>
            <w:tcW w:w="3640" w:type="dxa"/>
            <w:tcBorders>
              <w:top w:val="nil"/>
              <w:left w:val="nil"/>
              <w:bottom w:val="nil"/>
              <w:right w:val="nil"/>
            </w:tcBorders>
            <w:shd w:val="clear" w:color="auto" w:fill="auto"/>
            <w:noWrap/>
            <w:vAlign w:val="center"/>
            <w:hideMark/>
          </w:tcPr>
          <w:p w14:paraId="2393CCF0" w14:textId="77777777" w:rsidR="006A47F1" w:rsidRDefault="006A47F1">
            <w:pPr>
              <w:jc w:val="center"/>
              <w:rPr>
                <w:rFonts w:ascii="Arial" w:hAnsi="Arial" w:cs="Arial"/>
                <w:color w:val="000000"/>
                <w:sz w:val="20"/>
                <w:szCs w:val="20"/>
              </w:rPr>
            </w:pPr>
          </w:p>
        </w:tc>
        <w:tc>
          <w:tcPr>
            <w:tcW w:w="1501" w:type="dxa"/>
            <w:tcBorders>
              <w:top w:val="nil"/>
              <w:left w:val="nil"/>
              <w:bottom w:val="nil"/>
              <w:right w:val="nil"/>
            </w:tcBorders>
            <w:shd w:val="clear" w:color="auto" w:fill="auto"/>
            <w:noWrap/>
            <w:vAlign w:val="center"/>
            <w:hideMark/>
          </w:tcPr>
          <w:p w14:paraId="7829C9F5" w14:textId="77777777" w:rsidR="006A47F1" w:rsidRDefault="006A47F1">
            <w:pPr>
              <w:rPr>
                <w:sz w:val="20"/>
                <w:szCs w:val="20"/>
              </w:rPr>
            </w:pPr>
          </w:p>
        </w:tc>
        <w:tc>
          <w:tcPr>
            <w:tcW w:w="839" w:type="dxa"/>
            <w:tcBorders>
              <w:top w:val="nil"/>
              <w:left w:val="nil"/>
              <w:bottom w:val="nil"/>
              <w:right w:val="nil"/>
            </w:tcBorders>
            <w:shd w:val="clear" w:color="auto" w:fill="auto"/>
            <w:noWrap/>
            <w:vAlign w:val="center"/>
            <w:hideMark/>
          </w:tcPr>
          <w:p w14:paraId="7635B3BD" w14:textId="77777777" w:rsidR="006A47F1" w:rsidRDefault="006A47F1">
            <w:pPr>
              <w:jc w:val="center"/>
              <w:rPr>
                <w:rFonts w:ascii="Arial" w:hAnsi="Arial" w:cs="Arial"/>
                <w:color w:val="000000"/>
                <w:sz w:val="20"/>
                <w:szCs w:val="20"/>
              </w:rPr>
            </w:pPr>
            <w:r>
              <w:rPr>
                <w:rFonts w:ascii="Arial" w:hAnsi="Arial" w:cs="Arial"/>
                <w:color w:val="000000"/>
                <w:sz w:val="20"/>
                <w:szCs w:val="20"/>
              </w:rPr>
              <w:t>Risk</w:t>
            </w:r>
          </w:p>
        </w:tc>
        <w:tc>
          <w:tcPr>
            <w:tcW w:w="1391" w:type="dxa"/>
            <w:tcBorders>
              <w:top w:val="nil"/>
              <w:left w:val="nil"/>
              <w:bottom w:val="nil"/>
              <w:right w:val="nil"/>
            </w:tcBorders>
            <w:shd w:val="clear" w:color="auto" w:fill="auto"/>
            <w:noWrap/>
            <w:vAlign w:val="center"/>
            <w:hideMark/>
          </w:tcPr>
          <w:p w14:paraId="053D3DB1" w14:textId="77777777" w:rsidR="006A47F1" w:rsidRDefault="006A47F1">
            <w:pPr>
              <w:jc w:val="center"/>
              <w:rPr>
                <w:rFonts w:ascii="Arial" w:hAnsi="Arial" w:cs="Arial"/>
                <w:color w:val="000000"/>
                <w:sz w:val="20"/>
                <w:szCs w:val="20"/>
              </w:rPr>
            </w:pPr>
            <w:r>
              <w:rPr>
                <w:rFonts w:ascii="Arial" w:hAnsi="Arial" w:cs="Arial"/>
                <w:color w:val="000000"/>
                <w:sz w:val="20"/>
                <w:szCs w:val="20"/>
              </w:rPr>
              <w:t>Weighted</w:t>
            </w:r>
          </w:p>
        </w:tc>
      </w:tr>
      <w:tr w:rsidR="006A47F1" w14:paraId="559167A8" w14:textId="77777777" w:rsidTr="006A47F1">
        <w:trPr>
          <w:trHeight w:val="300"/>
        </w:trPr>
        <w:tc>
          <w:tcPr>
            <w:tcW w:w="3640" w:type="dxa"/>
            <w:tcBorders>
              <w:top w:val="nil"/>
              <w:left w:val="nil"/>
              <w:bottom w:val="nil"/>
              <w:right w:val="nil"/>
            </w:tcBorders>
            <w:shd w:val="clear" w:color="auto" w:fill="auto"/>
            <w:noWrap/>
            <w:vAlign w:val="center"/>
            <w:hideMark/>
          </w:tcPr>
          <w:p w14:paraId="23D29D60" w14:textId="77777777" w:rsidR="006A47F1" w:rsidRDefault="006A47F1">
            <w:pPr>
              <w:rPr>
                <w:rFonts w:ascii="Arial" w:hAnsi="Arial" w:cs="Arial"/>
                <w:b/>
                <w:bCs/>
                <w:color w:val="000000"/>
                <w:sz w:val="20"/>
                <w:szCs w:val="20"/>
              </w:rPr>
            </w:pPr>
            <w:r>
              <w:rPr>
                <w:rFonts w:ascii="Arial" w:hAnsi="Arial" w:cs="Arial"/>
                <w:b/>
                <w:bCs/>
                <w:color w:val="000000"/>
                <w:sz w:val="20"/>
                <w:szCs w:val="20"/>
              </w:rPr>
              <w:t>Exposures</w:t>
            </w:r>
          </w:p>
        </w:tc>
        <w:tc>
          <w:tcPr>
            <w:tcW w:w="1501" w:type="dxa"/>
            <w:tcBorders>
              <w:top w:val="nil"/>
              <w:left w:val="nil"/>
              <w:bottom w:val="nil"/>
              <w:right w:val="nil"/>
            </w:tcBorders>
            <w:shd w:val="clear" w:color="auto" w:fill="auto"/>
            <w:noWrap/>
            <w:vAlign w:val="center"/>
            <w:hideMark/>
          </w:tcPr>
          <w:p w14:paraId="61EC4291" w14:textId="77777777" w:rsidR="006A47F1" w:rsidRDefault="006A47F1">
            <w:pPr>
              <w:jc w:val="center"/>
              <w:rPr>
                <w:rFonts w:ascii="Arial" w:hAnsi="Arial" w:cs="Arial"/>
                <w:color w:val="000000"/>
                <w:sz w:val="20"/>
                <w:szCs w:val="20"/>
              </w:rPr>
            </w:pPr>
            <w:r>
              <w:rPr>
                <w:rFonts w:ascii="Arial" w:hAnsi="Arial" w:cs="Arial"/>
                <w:color w:val="000000"/>
                <w:sz w:val="20"/>
                <w:szCs w:val="20"/>
              </w:rPr>
              <w:t>Exposure</w:t>
            </w:r>
          </w:p>
        </w:tc>
        <w:tc>
          <w:tcPr>
            <w:tcW w:w="839" w:type="dxa"/>
            <w:tcBorders>
              <w:top w:val="nil"/>
              <w:left w:val="nil"/>
              <w:bottom w:val="nil"/>
              <w:right w:val="nil"/>
            </w:tcBorders>
            <w:shd w:val="clear" w:color="auto" w:fill="auto"/>
            <w:noWrap/>
            <w:vAlign w:val="center"/>
            <w:hideMark/>
          </w:tcPr>
          <w:p w14:paraId="3FC29496" w14:textId="77777777" w:rsidR="006A47F1" w:rsidRDefault="006A47F1">
            <w:pPr>
              <w:jc w:val="center"/>
              <w:rPr>
                <w:rFonts w:ascii="Arial" w:hAnsi="Arial" w:cs="Arial"/>
                <w:color w:val="000000"/>
                <w:sz w:val="20"/>
                <w:szCs w:val="20"/>
              </w:rPr>
            </w:pPr>
            <w:r>
              <w:rPr>
                <w:rFonts w:ascii="Arial" w:hAnsi="Arial" w:cs="Arial"/>
                <w:color w:val="000000"/>
                <w:sz w:val="20"/>
                <w:szCs w:val="20"/>
              </w:rPr>
              <w:t>Weight</w:t>
            </w:r>
          </w:p>
        </w:tc>
        <w:tc>
          <w:tcPr>
            <w:tcW w:w="1391" w:type="dxa"/>
            <w:tcBorders>
              <w:top w:val="nil"/>
              <w:left w:val="nil"/>
              <w:bottom w:val="nil"/>
              <w:right w:val="nil"/>
            </w:tcBorders>
            <w:shd w:val="clear" w:color="auto" w:fill="auto"/>
            <w:noWrap/>
            <w:vAlign w:val="center"/>
            <w:hideMark/>
          </w:tcPr>
          <w:p w14:paraId="26CB0527" w14:textId="77777777" w:rsidR="006A47F1" w:rsidRDefault="006A47F1">
            <w:pPr>
              <w:jc w:val="center"/>
              <w:rPr>
                <w:rFonts w:ascii="Arial" w:hAnsi="Arial" w:cs="Arial"/>
                <w:color w:val="000000"/>
                <w:sz w:val="20"/>
                <w:szCs w:val="20"/>
              </w:rPr>
            </w:pPr>
            <w:r>
              <w:rPr>
                <w:rFonts w:ascii="Arial" w:hAnsi="Arial" w:cs="Arial"/>
                <w:color w:val="000000"/>
                <w:sz w:val="20"/>
                <w:szCs w:val="20"/>
              </w:rPr>
              <w:t>Exposures</w:t>
            </w:r>
          </w:p>
        </w:tc>
      </w:tr>
      <w:tr w:rsidR="006A47F1" w14:paraId="44D65C82" w14:textId="77777777" w:rsidTr="006A47F1">
        <w:trPr>
          <w:trHeight w:val="300"/>
        </w:trPr>
        <w:tc>
          <w:tcPr>
            <w:tcW w:w="3640" w:type="dxa"/>
            <w:tcBorders>
              <w:top w:val="nil"/>
              <w:left w:val="nil"/>
              <w:bottom w:val="nil"/>
              <w:right w:val="nil"/>
            </w:tcBorders>
            <w:shd w:val="clear" w:color="auto" w:fill="auto"/>
            <w:noWrap/>
            <w:vAlign w:val="center"/>
            <w:hideMark/>
          </w:tcPr>
          <w:p w14:paraId="4642849A" w14:textId="77777777" w:rsidR="006A47F1" w:rsidRDefault="006A47F1">
            <w:pPr>
              <w:jc w:val="center"/>
              <w:rPr>
                <w:rFonts w:ascii="Arial" w:hAnsi="Arial" w:cs="Arial"/>
                <w:color w:val="000000"/>
                <w:sz w:val="20"/>
                <w:szCs w:val="20"/>
              </w:rPr>
            </w:pPr>
          </w:p>
        </w:tc>
        <w:tc>
          <w:tcPr>
            <w:tcW w:w="1501" w:type="dxa"/>
            <w:tcBorders>
              <w:top w:val="nil"/>
              <w:left w:val="nil"/>
              <w:bottom w:val="nil"/>
              <w:right w:val="nil"/>
            </w:tcBorders>
            <w:shd w:val="clear" w:color="auto" w:fill="auto"/>
            <w:noWrap/>
            <w:vAlign w:val="center"/>
            <w:hideMark/>
          </w:tcPr>
          <w:p w14:paraId="00E5E95B" w14:textId="77777777" w:rsidR="006A47F1" w:rsidRDefault="006A47F1">
            <w:pPr>
              <w:rPr>
                <w:sz w:val="20"/>
                <w:szCs w:val="20"/>
              </w:rPr>
            </w:pPr>
          </w:p>
        </w:tc>
        <w:tc>
          <w:tcPr>
            <w:tcW w:w="839" w:type="dxa"/>
            <w:tcBorders>
              <w:top w:val="nil"/>
              <w:left w:val="nil"/>
              <w:bottom w:val="nil"/>
              <w:right w:val="nil"/>
            </w:tcBorders>
            <w:shd w:val="clear" w:color="auto" w:fill="auto"/>
            <w:noWrap/>
            <w:vAlign w:val="center"/>
            <w:hideMark/>
          </w:tcPr>
          <w:p w14:paraId="0F3600A2" w14:textId="77777777" w:rsidR="006A47F1" w:rsidRDefault="006A47F1">
            <w:pPr>
              <w:jc w:val="right"/>
              <w:rPr>
                <w:sz w:val="20"/>
                <w:szCs w:val="20"/>
              </w:rPr>
            </w:pPr>
          </w:p>
        </w:tc>
        <w:tc>
          <w:tcPr>
            <w:tcW w:w="1391" w:type="dxa"/>
            <w:tcBorders>
              <w:top w:val="nil"/>
              <w:left w:val="nil"/>
              <w:bottom w:val="nil"/>
              <w:right w:val="nil"/>
            </w:tcBorders>
            <w:shd w:val="clear" w:color="auto" w:fill="auto"/>
            <w:noWrap/>
            <w:vAlign w:val="center"/>
            <w:hideMark/>
          </w:tcPr>
          <w:p w14:paraId="25C2FFA6" w14:textId="77777777" w:rsidR="006A47F1" w:rsidRDefault="006A47F1">
            <w:pPr>
              <w:rPr>
                <w:sz w:val="20"/>
                <w:szCs w:val="20"/>
              </w:rPr>
            </w:pPr>
          </w:p>
        </w:tc>
      </w:tr>
      <w:tr w:rsidR="006A47F1" w14:paraId="0F51FB75" w14:textId="77777777" w:rsidTr="006A47F1">
        <w:trPr>
          <w:trHeight w:val="300"/>
        </w:trPr>
        <w:tc>
          <w:tcPr>
            <w:tcW w:w="3640" w:type="dxa"/>
            <w:tcBorders>
              <w:top w:val="nil"/>
              <w:left w:val="nil"/>
              <w:bottom w:val="nil"/>
              <w:right w:val="nil"/>
            </w:tcBorders>
            <w:shd w:val="clear" w:color="auto" w:fill="auto"/>
            <w:noWrap/>
            <w:vAlign w:val="center"/>
            <w:hideMark/>
          </w:tcPr>
          <w:p w14:paraId="6EA7B736" w14:textId="77777777" w:rsidR="006A47F1" w:rsidRDefault="006A47F1">
            <w:pPr>
              <w:rPr>
                <w:rFonts w:ascii="Arial" w:hAnsi="Arial" w:cs="Arial"/>
                <w:color w:val="000000"/>
                <w:sz w:val="20"/>
                <w:szCs w:val="20"/>
              </w:rPr>
            </w:pPr>
            <w:r>
              <w:rPr>
                <w:rFonts w:ascii="Arial" w:hAnsi="Arial" w:cs="Arial"/>
                <w:color w:val="000000"/>
                <w:sz w:val="20"/>
                <w:szCs w:val="20"/>
              </w:rPr>
              <w:t>NZ Registered Bank Deposits</w:t>
            </w:r>
          </w:p>
        </w:tc>
        <w:tc>
          <w:tcPr>
            <w:tcW w:w="1501" w:type="dxa"/>
            <w:tcBorders>
              <w:top w:val="nil"/>
              <w:left w:val="nil"/>
              <w:bottom w:val="nil"/>
              <w:right w:val="nil"/>
            </w:tcBorders>
            <w:shd w:val="clear" w:color="auto" w:fill="auto"/>
            <w:noWrap/>
            <w:vAlign w:val="center"/>
            <w:hideMark/>
          </w:tcPr>
          <w:p w14:paraId="332C7BD1" w14:textId="69FB007B" w:rsidR="006A47F1" w:rsidRDefault="00C751E2">
            <w:pPr>
              <w:jc w:val="right"/>
              <w:rPr>
                <w:rFonts w:ascii="Arial" w:hAnsi="Arial" w:cs="Arial"/>
                <w:color w:val="000000"/>
                <w:sz w:val="20"/>
                <w:szCs w:val="20"/>
              </w:rPr>
            </w:pPr>
            <w:r>
              <w:rPr>
                <w:rFonts w:ascii="Arial" w:hAnsi="Arial" w:cs="Arial"/>
                <w:color w:val="000000"/>
                <w:sz w:val="20"/>
                <w:szCs w:val="20"/>
              </w:rPr>
              <w:t>18,844,852</w:t>
            </w:r>
            <w:r w:rsidR="006A47F1">
              <w:rPr>
                <w:rFonts w:ascii="Arial" w:hAnsi="Arial" w:cs="Arial"/>
                <w:color w:val="000000"/>
                <w:sz w:val="20"/>
                <w:szCs w:val="20"/>
              </w:rPr>
              <w:t xml:space="preserve"> </w:t>
            </w:r>
          </w:p>
        </w:tc>
        <w:tc>
          <w:tcPr>
            <w:tcW w:w="839" w:type="dxa"/>
            <w:tcBorders>
              <w:top w:val="nil"/>
              <w:left w:val="nil"/>
              <w:bottom w:val="nil"/>
              <w:right w:val="nil"/>
            </w:tcBorders>
            <w:shd w:val="clear" w:color="auto" w:fill="auto"/>
            <w:noWrap/>
            <w:vAlign w:val="center"/>
            <w:hideMark/>
          </w:tcPr>
          <w:p w14:paraId="4C96DBAA" w14:textId="77777777" w:rsidR="006A47F1" w:rsidRDefault="006A47F1">
            <w:pPr>
              <w:jc w:val="right"/>
              <w:rPr>
                <w:rFonts w:ascii="Arial" w:hAnsi="Arial" w:cs="Arial"/>
                <w:color w:val="000000"/>
                <w:sz w:val="20"/>
                <w:szCs w:val="20"/>
              </w:rPr>
            </w:pPr>
            <w:r>
              <w:rPr>
                <w:rFonts w:ascii="Arial" w:hAnsi="Arial" w:cs="Arial"/>
                <w:color w:val="000000"/>
                <w:sz w:val="20"/>
                <w:szCs w:val="20"/>
              </w:rPr>
              <w:t>20%</w:t>
            </w:r>
          </w:p>
        </w:tc>
        <w:tc>
          <w:tcPr>
            <w:tcW w:w="1391" w:type="dxa"/>
            <w:tcBorders>
              <w:top w:val="nil"/>
              <w:left w:val="nil"/>
              <w:bottom w:val="nil"/>
              <w:right w:val="nil"/>
            </w:tcBorders>
            <w:shd w:val="clear" w:color="auto" w:fill="auto"/>
            <w:noWrap/>
            <w:vAlign w:val="center"/>
            <w:hideMark/>
          </w:tcPr>
          <w:p w14:paraId="5275E152" w14:textId="49FEF9FE" w:rsidR="006A47F1" w:rsidRDefault="006A47F1">
            <w:pPr>
              <w:jc w:val="right"/>
              <w:rPr>
                <w:rFonts w:ascii="Arial" w:hAnsi="Arial" w:cs="Arial"/>
                <w:color w:val="000000"/>
                <w:sz w:val="20"/>
                <w:szCs w:val="20"/>
              </w:rPr>
            </w:pPr>
            <w:r>
              <w:rPr>
                <w:rFonts w:ascii="Arial" w:hAnsi="Arial" w:cs="Arial"/>
                <w:color w:val="000000"/>
                <w:sz w:val="20"/>
                <w:szCs w:val="20"/>
              </w:rPr>
              <w:t xml:space="preserve">    </w:t>
            </w:r>
            <w:r w:rsidR="00C751E2">
              <w:rPr>
                <w:rFonts w:ascii="Arial" w:hAnsi="Arial" w:cs="Arial"/>
                <w:color w:val="000000"/>
                <w:sz w:val="20"/>
                <w:szCs w:val="20"/>
              </w:rPr>
              <w:t>3,768,970</w:t>
            </w:r>
            <w:r>
              <w:rPr>
                <w:rFonts w:ascii="Arial" w:hAnsi="Arial" w:cs="Arial"/>
                <w:color w:val="000000"/>
                <w:sz w:val="20"/>
                <w:szCs w:val="20"/>
              </w:rPr>
              <w:t xml:space="preserve"> </w:t>
            </w:r>
          </w:p>
        </w:tc>
      </w:tr>
      <w:tr w:rsidR="006A47F1" w14:paraId="7A8EB68F" w14:textId="77777777" w:rsidTr="006A47F1">
        <w:trPr>
          <w:trHeight w:val="300"/>
        </w:trPr>
        <w:tc>
          <w:tcPr>
            <w:tcW w:w="3640" w:type="dxa"/>
            <w:tcBorders>
              <w:top w:val="nil"/>
              <w:left w:val="nil"/>
              <w:bottom w:val="nil"/>
              <w:right w:val="nil"/>
            </w:tcBorders>
            <w:shd w:val="clear" w:color="auto" w:fill="auto"/>
            <w:noWrap/>
            <w:vAlign w:val="center"/>
            <w:hideMark/>
          </w:tcPr>
          <w:p w14:paraId="572863DC" w14:textId="77777777" w:rsidR="006A47F1" w:rsidRDefault="006A47F1">
            <w:pPr>
              <w:rPr>
                <w:rFonts w:ascii="Arial" w:hAnsi="Arial" w:cs="Arial"/>
                <w:color w:val="000000"/>
                <w:sz w:val="20"/>
                <w:szCs w:val="20"/>
              </w:rPr>
            </w:pPr>
            <w:r>
              <w:rPr>
                <w:rFonts w:ascii="Arial" w:hAnsi="Arial" w:cs="Arial"/>
                <w:color w:val="000000"/>
                <w:sz w:val="20"/>
                <w:szCs w:val="20"/>
              </w:rPr>
              <w:t>Residential mortgages:</w:t>
            </w:r>
          </w:p>
        </w:tc>
        <w:tc>
          <w:tcPr>
            <w:tcW w:w="1501" w:type="dxa"/>
            <w:tcBorders>
              <w:top w:val="nil"/>
              <w:left w:val="nil"/>
              <w:bottom w:val="nil"/>
              <w:right w:val="nil"/>
            </w:tcBorders>
            <w:shd w:val="clear" w:color="auto" w:fill="auto"/>
            <w:noWrap/>
            <w:vAlign w:val="center"/>
            <w:hideMark/>
          </w:tcPr>
          <w:p w14:paraId="438BDD24" w14:textId="77777777" w:rsidR="006A47F1" w:rsidRDefault="006A47F1">
            <w:pPr>
              <w:rPr>
                <w:rFonts w:ascii="Arial" w:hAnsi="Arial" w:cs="Arial"/>
                <w:color w:val="000000"/>
                <w:sz w:val="20"/>
                <w:szCs w:val="20"/>
              </w:rPr>
            </w:pPr>
          </w:p>
        </w:tc>
        <w:tc>
          <w:tcPr>
            <w:tcW w:w="839" w:type="dxa"/>
            <w:tcBorders>
              <w:top w:val="nil"/>
              <w:left w:val="nil"/>
              <w:bottom w:val="nil"/>
              <w:right w:val="nil"/>
            </w:tcBorders>
            <w:shd w:val="clear" w:color="auto" w:fill="auto"/>
            <w:noWrap/>
            <w:vAlign w:val="center"/>
            <w:hideMark/>
          </w:tcPr>
          <w:p w14:paraId="67AF8F55" w14:textId="77777777" w:rsidR="006A47F1" w:rsidRDefault="006A47F1">
            <w:pPr>
              <w:jc w:val="right"/>
              <w:rPr>
                <w:sz w:val="20"/>
                <w:szCs w:val="20"/>
              </w:rPr>
            </w:pPr>
          </w:p>
        </w:tc>
        <w:tc>
          <w:tcPr>
            <w:tcW w:w="1391" w:type="dxa"/>
            <w:tcBorders>
              <w:top w:val="nil"/>
              <w:left w:val="nil"/>
              <w:bottom w:val="nil"/>
              <w:right w:val="nil"/>
            </w:tcBorders>
            <w:shd w:val="clear" w:color="auto" w:fill="auto"/>
            <w:noWrap/>
            <w:vAlign w:val="center"/>
            <w:hideMark/>
          </w:tcPr>
          <w:p w14:paraId="551AA73D" w14:textId="77777777" w:rsidR="006A47F1" w:rsidRDefault="006A47F1">
            <w:pPr>
              <w:jc w:val="right"/>
              <w:rPr>
                <w:sz w:val="20"/>
                <w:szCs w:val="20"/>
              </w:rPr>
            </w:pPr>
          </w:p>
        </w:tc>
      </w:tr>
      <w:tr w:rsidR="006A47F1" w14:paraId="2929C804" w14:textId="77777777" w:rsidTr="006A47F1">
        <w:trPr>
          <w:trHeight w:val="300"/>
        </w:trPr>
        <w:tc>
          <w:tcPr>
            <w:tcW w:w="3640" w:type="dxa"/>
            <w:tcBorders>
              <w:top w:val="nil"/>
              <w:left w:val="nil"/>
              <w:bottom w:val="nil"/>
              <w:right w:val="nil"/>
            </w:tcBorders>
            <w:shd w:val="clear" w:color="auto" w:fill="auto"/>
            <w:noWrap/>
            <w:vAlign w:val="center"/>
            <w:hideMark/>
          </w:tcPr>
          <w:p w14:paraId="4FFE7F43" w14:textId="77777777" w:rsidR="006A47F1" w:rsidRDefault="006A47F1">
            <w:pPr>
              <w:rPr>
                <w:rFonts w:ascii="Arial" w:hAnsi="Arial" w:cs="Arial"/>
                <w:color w:val="000000"/>
                <w:sz w:val="20"/>
                <w:szCs w:val="20"/>
              </w:rPr>
            </w:pPr>
            <w:r>
              <w:rPr>
                <w:rFonts w:ascii="Arial" w:hAnsi="Arial" w:cs="Arial"/>
                <w:color w:val="000000"/>
                <w:sz w:val="20"/>
                <w:szCs w:val="20"/>
              </w:rPr>
              <w:t xml:space="preserve">  LVR 70% and under</w:t>
            </w:r>
          </w:p>
        </w:tc>
        <w:tc>
          <w:tcPr>
            <w:tcW w:w="1501" w:type="dxa"/>
            <w:tcBorders>
              <w:top w:val="nil"/>
              <w:left w:val="nil"/>
              <w:bottom w:val="nil"/>
              <w:right w:val="nil"/>
            </w:tcBorders>
            <w:shd w:val="clear" w:color="auto" w:fill="auto"/>
            <w:noWrap/>
            <w:vAlign w:val="center"/>
            <w:hideMark/>
          </w:tcPr>
          <w:p w14:paraId="71651C28" w14:textId="28D9F714" w:rsidR="006A47F1" w:rsidRDefault="00C751E2">
            <w:pPr>
              <w:jc w:val="right"/>
              <w:rPr>
                <w:rFonts w:ascii="Arial" w:hAnsi="Arial" w:cs="Arial"/>
                <w:color w:val="000000"/>
                <w:sz w:val="20"/>
                <w:szCs w:val="20"/>
              </w:rPr>
            </w:pPr>
            <w:r>
              <w:rPr>
                <w:rFonts w:ascii="Arial" w:hAnsi="Arial" w:cs="Arial"/>
                <w:color w:val="000000"/>
                <w:sz w:val="20"/>
                <w:szCs w:val="20"/>
              </w:rPr>
              <w:t>65,045,254</w:t>
            </w:r>
            <w:r w:rsidR="006A47F1">
              <w:rPr>
                <w:rFonts w:ascii="Arial" w:hAnsi="Arial" w:cs="Arial"/>
                <w:color w:val="000000"/>
                <w:sz w:val="20"/>
                <w:szCs w:val="20"/>
              </w:rPr>
              <w:t xml:space="preserve"> </w:t>
            </w:r>
          </w:p>
        </w:tc>
        <w:tc>
          <w:tcPr>
            <w:tcW w:w="839" w:type="dxa"/>
            <w:tcBorders>
              <w:top w:val="nil"/>
              <w:left w:val="nil"/>
              <w:bottom w:val="nil"/>
              <w:right w:val="nil"/>
            </w:tcBorders>
            <w:shd w:val="clear" w:color="auto" w:fill="auto"/>
            <w:noWrap/>
            <w:vAlign w:val="center"/>
            <w:hideMark/>
          </w:tcPr>
          <w:p w14:paraId="4EF61D2C" w14:textId="77777777" w:rsidR="006A47F1" w:rsidRDefault="006A47F1">
            <w:pPr>
              <w:jc w:val="right"/>
              <w:rPr>
                <w:rFonts w:ascii="Arial" w:hAnsi="Arial" w:cs="Arial"/>
                <w:color w:val="000000"/>
                <w:sz w:val="20"/>
                <w:szCs w:val="20"/>
              </w:rPr>
            </w:pPr>
            <w:r>
              <w:rPr>
                <w:rFonts w:ascii="Arial" w:hAnsi="Arial" w:cs="Arial"/>
                <w:color w:val="000000"/>
                <w:sz w:val="20"/>
                <w:szCs w:val="20"/>
              </w:rPr>
              <w:t>35%</w:t>
            </w:r>
          </w:p>
        </w:tc>
        <w:tc>
          <w:tcPr>
            <w:tcW w:w="1391" w:type="dxa"/>
            <w:tcBorders>
              <w:top w:val="nil"/>
              <w:left w:val="nil"/>
              <w:bottom w:val="nil"/>
              <w:right w:val="nil"/>
            </w:tcBorders>
            <w:shd w:val="clear" w:color="auto" w:fill="auto"/>
            <w:noWrap/>
            <w:vAlign w:val="center"/>
            <w:hideMark/>
          </w:tcPr>
          <w:p w14:paraId="52C9F787" w14:textId="48B41862" w:rsidR="006A47F1" w:rsidRDefault="00C751E2">
            <w:pPr>
              <w:jc w:val="right"/>
              <w:rPr>
                <w:rFonts w:ascii="Arial" w:hAnsi="Arial" w:cs="Arial"/>
                <w:color w:val="000000"/>
                <w:sz w:val="20"/>
                <w:szCs w:val="20"/>
              </w:rPr>
            </w:pPr>
            <w:r>
              <w:rPr>
                <w:rFonts w:ascii="Arial" w:hAnsi="Arial" w:cs="Arial"/>
                <w:color w:val="000000"/>
                <w:sz w:val="20"/>
                <w:szCs w:val="20"/>
              </w:rPr>
              <w:t>22,765,839</w:t>
            </w:r>
            <w:r w:rsidR="006A47F1">
              <w:rPr>
                <w:rFonts w:ascii="Arial" w:hAnsi="Arial" w:cs="Arial"/>
                <w:color w:val="000000"/>
                <w:sz w:val="20"/>
                <w:szCs w:val="20"/>
              </w:rPr>
              <w:t xml:space="preserve"> </w:t>
            </w:r>
          </w:p>
        </w:tc>
      </w:tr>
      <w:tr w:rsidR="006A47F1" w14:paraId="2965F00E" w14:textId="77777777" w:rsidTr="006A47F1">
        <w:trPr>
          <w:trHeight w:val="300"/>
        </w:trPr>
        <w:tc>
          <w:tcPr>
            <w:tcW w:w="3640" w:type="dxa"/>
            <w:tcBorders>
              <w:top w:val="nil"/>
              <w:left w:val="nil"/>
              <w:bottom w:val="nil"/>
              <w:right w:val="nil"/>
            </w:tcBorders>
            <w:shd w:val="clear" w:color="auto" w:fill="auto"/>
            <w:noWrap/>
            <w:vAlign w:val="center"/>
            <w:hideMark/>
          </w:tcPr>
          <w:p w14:paraId="42EB105A" w14:textId="77777777" w:rsidR="006A47F1" w:rsidRDefault="006A47F1">
            <w:pPr>
              <w:rPr>
                <w:rFonts w:ascii="Arial" w:hAnsi="Arial" w:cs="Arial"/>
                <w:color w:val="000000"/>
                <w:sz w:val="20"/>
                <w:szCs w:val="20"/>
              </w:rPr>
            </w:pPr>
            <w:r>
              <w:rPr>
                <w:rFonts w:ascii="Arial" w:hAnsi="Arial" w:cs="Arial"/>
                <w:color w:val="000000"/>
                <w:sz w:val="20"/>
                <w:szCs w:val="20"/>
              </w:rPr>
              <w:t xml:space="preserve">  LVR 70% - 80%</w:t>
            </w:r>
          </w:p>
        </w:tc>
        <w:tc>
          <w:tcPr>
            <w:tcW w:w="1501" w:type="dxa"/>
            <w:tcBorders>
              <w:top w:val="nil"/>
              <w:left w:val="nil"/>
              <w:bottom w:val="nil"/>
              <w:right w:val="nil"/>
            </w:tcBorders>
            <w:shd w:val="clear" w:color="auto" w:fill="auto"/>
            <w:noWrap/>
            <w:vAlign w:val="center"/>
            <w:hideMark/>
          </w:tcPr>
          <w:p w14:paraId="4EDF30CD" w14:textId="45836F83" w:rsidR="006A47F1" w:rsidRDefault="00C751E2">
            <w:pPr>
              <w:jc w:val="right"/>
              <w:rPr>
                <w:rFonts w:ascii="Arial" w:hAnsi="Arial" w:cs="Arial"/>
                <w:color w:val="000000"/>
                <w:sz w:val="20"/>
                <w:szCs w:val="20"/>
              </w:rPr>
            </w:pPr>
            <w:r>
              <w:rPr>
                <w:rFonts w:ascii="Arial" w:hAnsi="Arial" w:cs="Arial"/>
                <w:color w:val="000000"/>
                <w:sz w:val="20"/>
                <w:szCs w:val="20"/>
              </w:rPr>
              <w:t>1,093,982</w:t>
            </w:r>
            <w:r w:rsidR="006A47F1">
              <w:rPr>
                <w:rFonts w:ascii="Arial" w:hAnsi="Arial" w:cs="Arial"/>
                <w:color w:val="000000"/>
                <w:sz w:val="20"/>
                <w:szCs w:val="20"/>
              </w:rPr>
              <w:t xml:space="preserve"> </w:t>
            </w:r>
          </w:p>
        </w:tc>
        <w:tc>
          <w:tcPr>
            <w:tcW w:w="839" w:type="dxa"/>
            <w:tcBorders>
              <w:top w:val="nil"/>
              <w:left w:val="nil"/>
              <w:bottom w:val="nil"/>
              <w:right w:val="nil"/>
            </w:tcBorders>
            <w:shd w:val="clear" w:color="auto" w:fill="auto"/>
            <w:noWrap/>
            <w:vAlign w:val="center"/>
            <w:hideMark/>
          </w:tcPr>
          <w:p w14:paraId="635FF5B9" w14:textId="77777777" w:rsidR="006A47F1" w:rsidRDefault="006A47F1">
            <w:pPr>
              <w:jc w:val="right"/>
              <w:rPr>
                <w:rFonts w:ascii="Arial" w:hAnsi="Arial" w:cs="Arial"/>
                <w:color w:val="000000"/>
                <w:sz w:val="20"/>
                <w:szCs w:val="20"/>
              </w:rPr>
            </w:pPr>
            <w:r>
              <w:rPr>
                <w:rFonts w:ascii="Arial" w:hAnsi="Arial" w:cs="Arial"/>
                <w:color w:val="000000"/>
                <w:sz w:val="20"/>
                <w:szCs w:val="20"/>
              </w:rPr>
              <w:t>50%</w:t>
            </w:r>
          </w:p>
        </w:tc>
        <w:tc>
          <w:tcPr>
            <w:tcW w:w="1391" w:type="dxa"/>
            <w:tcBorders>
              <w:top w:val="nil"/>
              <w:left w:val="nil"/>
              <w:bottom w:val="nil"/>
              <w:right w:val="nil"/>
            </w:tcBorders>
            <w:shd w:val="clear" w:color="auto" w:fill="auto"/>
            <w:noWrap/>
            <w:vAlign w:val="center"/>
            <w:hideMark/>
          </w:tcPr>
          <w:p w14:paraId="73629E75" w14:textId="6E6D6852" w:rsidR="006A47F1" w:rsidRDefault="00C751E2">
            <w:pPr>
              <w:jc w:val="right"/>
              <w:rPr>
                <w:rFonts w:ascii="Arial" w:hAnsi="Arial" w:cs="Arial"/>
                <w:color w:val="000000"/>
                <w:sz w:val="20"/>
                <w:szCs w:val="20"/>
              </w:rPr>
            </w:pPr>
            <w:r>
              <w:rPr>
                <w:rFonts w:ascii="Arial" w:hAnsi="Arial" w:cs="Arial"/>
                <w:color w:val="000000"/>
                <w:sz w:val="20"/>
                <w:szCs w:val="20"/>
              </w:rPr>
              <w:t>546,991</w:t>
            </w:r>
            <w:r w:rsidR="006A47F1">
              <w:rPr>
                <w:rFonts w:ascii="Arial" w:hAnsi="Arial" w:cs="Arial"/>
                <w:color w:val="000000"/>
                <w:sz w:val="20"/>
                <w:szCs w:val="20"/>
              </w:rPr>
              <w:t xml:space="preserve"> </w:t>
            </w:r>
          </w:p>
        </w:tc>
      </w:tr>
      <w:tr w:rsidR="006A47F1" w14:paraId="5DE14A20" w14:textId="77777777" w:rsidTr="00C751E2">
        <w:trPr>
          <w:trHeight w:val="300"/>
        </w:trPr>
        <w:tc>
          <w:tcPr>
            <w:tcW w:w="3640" w:type="dxa"/>
            <w:tcBorders>
              <w:top w:val="nil"/>
              <w:left w:val="nil"/>
              <w:bottom w:val="nil"/>
              <w:right w:val="nil"/>
            </w:tcBorders>
            <w:shd w:val="clear" w:color="auto" w:fill="auto"/>
            <w:noWrap/>
            <w:vAlign w:val="center"/>
            <w:hideMark/>
          </w:tcPr>
          <w:p w14:paraId="46B7252C" w14:textId="77777777" w:rsidR="006A47F1" w:rsidRDefault="006A47F1">
            <w:pPr>
              <w:rPr>
                <w:rFonts w:ascii="Arial" w:hAnsi="Arial" w:cs="Arial"/>
                <w:color w:val="000000"/>
                <w:sz w:val="20"/>
                <w:szCs w:val="20"/>
              </w:rPr>
            </w:pPr>
            <w:r>
              <w:rPr>
                <w:rFonts w:ascii="Arial" w:hAnsi="Arial" w:cs="Arial"/>
                <w:color w:val="000000"/>
                <w:sz w:val="20"/>
                <w:szCs w:val="20"/>
              </w:rPr>
              <w:t xml:space="preserve">  Second mortgages</w:t>
            </w:r>
          </w:p>
        </w:tc>
        <w:tc>
          <w:tcPr>
            <w:tcW w:w="1501" w:type="dxa"/>
            <w:tcBorders>
              <w:top w:val="nil"/>
              <w:left w:val="nil"/>
              <w:bottom w:val="nil"/>
              <w:right w:val="nil"/>
            </w:tcBorders>
            <w:shd w:val="clear" w:color="auto" w:fill="auto"/>
            <w:noWrap/>
            <w:vAlign w:val="center"/>
          </w:tcPr>
          <w:p w14:paraId="7B19EBE3" w14:textId="28A8A9CC" w:rsidR="006A47F1" w:rsidRDefault="006A47F1">
            <w:pPr>
              <w:jc w:val="right"/>
              <w:rPr>
                <w:rFonts w:ascii="Arial" w:hAnsi="Arial" w:cs="Arial"/>
                <w:color w:val="000000"/>
                <w:sz w:val="20"/>
                <w:szCs w:val="20"/>
              </w:rPr>
            </w:pPr>
          </w:p>
        </w:tc>
        <w:tc>
          <w:tcPr>
            <w:tcW w:w="839" w:type="dxa"/>
            <w:tcBorders>
              <w:top w:val="nil"/>
              <w:left w:val="nil"/>
              <w:bottom w:val="nil"/>
              <w:right w:val="nil"/>
            </w:tcBorders>
            <w:shd w:val="clear" w:color="auto" w:fill="auto"/>
            <w:noWrap/>
            <w:vAlign w:val="center"/>
          </w:tcPr>
          <w:p w14:paraId="2C7B5AAD" w14:textId="46A7A66E" w:rsidR="006A47F1" w:rsidRDefault="006A47F1">
            <w:pPr>
              <w:jc w:val="right"/>
              <w:rPr>
                <w:rFonts w:ascii="Arial" w:hAnsi="Arial" w:cs="Arial"/>
                <w:color w:val="000000"/>
                <w:sz w:val="20"/>
                <w:szCs w:val="20"/>
              </w:rPr>
            </w:pPr>
          </w:p>
        </w:tc>
        <w:tc>
          <w:tcPr>
            <w:tcW w:w="1391" w:type="dxa"/>
            <w:tcBorders>
              <w:top w:val="nil"/>
              <w:left w:val="nil"/>
              <w:bottom w:val="nil"/>
              <w:right w:val="nil"/>
            </w:tcBorders>
            <w:shd w:val="clear" w:color="auto" w:fill="auto"/>
            <w:noWrap/>
            <w:vAlign w:val="center"/>
          </w:tcPr>
          <w:p w14:paraId="13527864" w14:textId="76481702" w:rsidR="006A47F1" w:rsidRDefault="006A47F1">
            <w:pPr>
              <w:jc w:val="right"/>
              <w:rPr>
                <w:rFonts w:ascii="Arial" w:hAnsi="Arial" w:cs="Arial"/>
                <w:color w:val="000000"/>
                <w:sz w:val="20"/>
                <w:szCs w:val="20"/>
              </w:rPr>
            </w:pPr>
          </w:p>
        </w:tc>
      </w:tr>
      <w:tr w:rsidR="006A47F1" w14:paraId="180CD0D1" w14:textId="77777777" w:rsidTr="006A47F1">
        <w:trPr>
          <w:trHeight w:val="510"/>
        </w:trPr>
        <w:tc>
          <w:tcPr>
            <w:tcW w:w="3640" w:type="dxa"/>
            <w:tcBorders>
              <w:top w:val="nil"/>
              <w:left w:val="nil"/>
              <w:bottom w:val="nil"/>
              <w:right w:val="nil"/>
            </w:tcBorders>
            <w:shd w:val="clear" w:color="auto" w:fill="auto"/>
            <w:vAlign w:val="center"/>
            <w:hideMark/>
          </w:tcPr>
          <w:p w14:paraId="26E59780" w14:textId="77777777" w:rsidR="006A47F1" w:rsidRDefault="006A47F1">
            <w:pPr>
              <w:rPr>
                <w:rFonts w:ascii="Arial" w:hAnsi="Arial" w:cs="Arial"/>
                <w:color w:val="000000"/>
                <w:sz w:val="20"/>
                <w:szCs w:val="20"/>
              </w:rPr>
            </w:pPr>
            <w:r>
              <w:rPr>
                <w:rFonts w:ascii="Arial" w:hAnsi="Arial" w:cs="Arial"/>
                <w:color w:val="000000"/>
                <w:sz w:val="20"/>
                <w:szCs w:val="20"/>
              </w:rPr>
              <w:t>Other loans with qualifying security over land and buildings:</w:t>
            </w:r>
          </w:p>
        </w:tc>
        <w:tc>
          <w:tcPr>
            <w:tcW w:w="1501" w:type="dxa"/>
            <w:tcBorders>
              <w:top w:val="nil"/>
              <w:left w:val="nil"/>
              <w:bottom w:val="nil"/>
              <w:right w:val="nil"/>
            </w:tcBorders>
            <w:shd w:val="clear" w:color="auto" w:fill="auto"/>
            <w:noWrap/>
            <w:vAlign w:val="center"/>
            <w:hideMark/>
          </w:tcPr>
          <w:p w14:paraId="50F1D63A" w14:textId="77777777" w:rsidR="006A47F1" w:rsidRDefault="006A47F1">
            <w:pPr>
              <w:rPr>
                <w:rFonts w:ascii="Arial" w:hAnsi="Arial" w:cs="Arial"/>
                <w:color w:val="000000"/>
                <w:sz w:val="20"/>
                <w:szCs w:val="20"/>
              </w:rPr>
            </w:pPr>
          </w:p>
        </w:tc>
        <w:tc>
          <w:tcPr>
            <w:tcW w:w="839" w:type="dxa"/>
            <w:tcBorders>
              <w:top w:val="nil"/>
              <w:left w:val="nil"/>
              <w:bottom w:val="nil"/>
              <w:right w:val="nil"/>
            </w:tcBorders>
            <w:shd w:val="clear" w:color="auto" w:fill="auto"/>
            <w:noWrap/>
            <w:vAlign w:val="center"/>
            <w:hideMark/>
          </w:tcPr>
          <w:p w14:paraId="68B448E8" w14:textId="77777777" w:rsidR="006A47F1" w:rsidRDefault="006A47F1">
            <w:pPr>
              <w:jc w:val="right"/>
              <w:rPr>
                <w:sz w:val="20"/>
                <w:szCs w:val="20"/>
              </w:rPr>
            </w:pPr>
          </w:p>
        </w:tc>
        <w:tc>
          <w:tcPr>
            <w:tcW w:w="1391" w:type="dxa"/>
            <w:tcBorders>
              <w:top w:val="nil"/>
              <w:left w:val="nil"/>
              <w:bottom w:val="nil"/>
              <w:right w:val="nil"/>
            </w:tcBorders>
            <w:shd w:val="clear" w:color="auto" w:fill="auto"/>
            <w:noWrap/>
            <w:vAlign w:val="center"/>
            <w:hideMark/>
          </w:tcPr>
          <w:p w14:paraId="675DE450" w14:textId="77777777" w:rsidR="006A47F1" w:rsidRDefault="006A47F1">
            <w:pPr>
              <w:jc w:val="right"/>
              <w:rPr>
                <w:sz w:val="20"/>
                <w:szCs w:val="20"/>
              </w:rPr>
            </w:pPr>
          </w:p>
        </w:tc>
      </w:tr>
      <w:tr w:rsidR="006A47F1" w14:paraId="58BA0F85" w14:textId="77777777" w:rsidTr="006A47F1">
        <w:trPr>
          <w:trHeight w:val="300"/>
        </w:trPr>
        <w:tc>
          <w:tcPr>
            <w:tcW w:w="3640" w:type="dxa"/>
            <w:tcBorders>
              <w:top w:val="nil"/>
              <w:left w:val="nil"/>
              <w:bottom w:val="nil"/>
              <w:right w:val="nil"/>
            </w:tcBorders>
            <w:shd w:val="clear" w:color="auto" w:fill="auto"/>
            <w:noWrap/>
            <w:vAlign w:val="center"/>
            <w:hideMark/>
          </w:tcPr>
          <w:p w14:paraId="3EB3B027" w14:textId="77777777" w:rsidR="006A47F1" w:rsidRDefault="006A47F1">
            <w:pPr>
              <w:rPr>
                <w:rFonts w:ascii="Arial" w:hAnsi="Arial" w:cs="Arial"/>
                <w:color w:val="000000"/>
                <w:sz w:val="20"/>
                <w:szCs w:val="20"/>
              </w:rPr>
            </w:pPr>
            <w:r>
              <w:rPr>
                <w:rFonts w:ascii="Arial" w:hAnsi="Arial" w:cs="Arial"/>
                <w:color w:val="000000"/>
                <w:sz w:val="20"/>
                <w:szCs w:val="20"/>
              </w:rPr>
              <w:t xml:space="preserve">  LVR 70% and under</w:t>
            </w:r>
          </w:p>
        </w:tc>
        <w:tc>
          <w:tcPr>
            <w:tcW w:w="1501" w:type="dxa"/>
            <w:tcBorders>
              <w:top w:val="nil"/>
              <w:left w:val="nil"/>
              <w:bottom w:val="nil"/>
              <w:right w:val="nil"/>
            </w:tcBorders>
            <w:shd w:val="clear" w:color="auto" w:fill="auto"/>
            <w:noWrap/>
            <w:vAlign w:val="center"/>
            <w:hideMark/>
          </w:tcPr>
          <w:p w14:paraId="0E7993EC" w14:textId="718D505C" w:rsidR="006A47F1" w:rsidRDefault="00C751E2">
            <w:pPr>
              <w:jc w:val="right"/>
              <w:rPr>
                <w:rFonts w:ascii="Arial" w:hAnsi="Arial" w:cs="Arial"/>
                <w:color w:val="000000"/>
                <w:sz w:val="20"/>
                <w:szCs w:val="20"/>
              </w:rPr>
            </w:pPr>
            <w:r>
              <w:rPr>
                <w:rFonts w:ascii="Arial" w:hAnsi="Arial" w:cs="Arial"/>
                <w:color w:val="000000"/>
                <w:sz w:val="20"/>
                <w:szCs w:val="20"/>
              </w:rPr>
              <w:t>13,888,425</w:t>
            </w:r>
            <w:r w:rsidR="006A47F1">
              <w:rPr>
                <w:rFonts w:ascii="Arial" w:hAnsi="Arial" w:cs="Arial"/>
                <w:color w:val="000000"/>
                <w:sz w:val="20"/>
                <w:szCs w:val="20"/>
              </w:rPr>
              <w:t xml:space="preserve"> </w:t>
            </w:r>
          </w:p>
        </w:tc>
        <w:tc>
          <w:tcPr>
            <w:tcW w:w="839" w:type="dxa"/>
            <w:tcBorders>
              <w:top w:val="nil"/>
              <w:left w:val="nil"/>
              <w:bottom w:val="nil"/>
              <w:right w:val="nil"/>
            </w:tcBorders>
            <w:shd w:val="clear" w:color="auto" w:fill="auto"/>
            <w:noWrap/>
            <w:vAlign w:val="center"/>
            <w:hideMark/>
          </w:tcPr>
          <w:p w14:paraId="692C90B6" w14:textId="77777777" w:rsidR="006A47F1" w:rsidRDefault="006A47F1">
            <w:pPr>
              <w:jc w:val="right"/>
              <w:rPr>
                <w:rFonts w:ascii="Arial" w:hAnsi="Arial" w:cs="Arial"/>
                <w:color w:val="000000"/>
                <w:sz w:val="20"/>
                <w:szCs w:val="20"/>
              </w:rPr>
            </w:pPr>
            <w:r>
              <w:rPr>
                <w:rFonts w:ascii="Arial" w:hAnsi="Arial" w:cs="Arial"/>
                <w:color w:val="000000"/>
                <w:sz w:val="20"/>
                <w:szCs w:val="20"/>
              </w:rPr>
              <w:t>100%</w:t>
            </w:r>
          </w:p>
        </w:tc>
        <w:tc>
          <w:tcPr>
            <w:tcW w:w="1391" w:type="dxa"/>
            <w:tcBorders>
              <w:top w:val="nil"/>
              <w:left w:val="nil"/>
              <w:bottom w:val="nil"/>
              <w:right w:val="nil"/>
            </w:tcBorders>
            <w:shd w:val="clear" w:color="auto" w:fill="auto"/>
            <w:noWrap/>
            <w:vAlign w:val="center"/>
            <w:hideMark/>
          </w:tcPr>
          <w:p w14:paraId="6DB876FF" w14:textId="1270BFD8" w:rsidR="006A47F1" w:rsidRDefault="006A47F1">
            <w:pPr>
              <w:jc w:val="right"/>
              <w:rPr>
                <w:rFonts w:ascii="Arial" w:hAnsi="Arial" w:cs="Arial"/>
                <w:color w:val="000000"/>
                <w:sz w:val="20"/>
                <w:szCs w:val="20"/>
              </w:rPr>
            </w:pPr>
            <w:r>
              <w:rPr>
                <w:rFonts w:ascii="Arial" w:hAnsi="Arial" w:cs="Arial"/>
                <w:color w:val="000000"/>
                <w:sz w:val="20"/>
                <w:szCs w:val="20"/>
              </w:rPr>
              <w:t xml:space="preserve">   </w:t>
            </w:r>
            <w:r w:rsidR="00C751E2">
              <w:rPr>
                <w:rFonts w:ascii="Arial" w:hAnsi="Arial" w:cs="Arial"/>
                <w:color w:val="000000"/>
                <w:sz w:val="20"/>
                <w:szCs w:val="20"/>
              </w:rPr>
              <w:t>13,888,425</w:t>
            </w:r>
            <w:r>
              <w:rPr>
                <w:rFonts w:ascii="Arial" w:hAnsi="Arial" w:cs="Arial"/>
                <w:color w:val="000000"/>
                <w:sz w:val="20"/>
                <w:szCs w:val="20"/>
              </w:rPr>
              <w:t xml:space="preserve"> </w:t>
            </w:r>
          </w:p>
        </w:tc>
      </w:tr>
      <w:tr w:rsidR="006A47F1" w14:paraId="32416979" w14:textId="77777777" w:rsidTr="006A47F1">
        <w:trPr>
          <w:trHeight w:val="300"/>
        </w:trPr>
        <w:tc>
          <w:tcPr>
            <w:tcW w:w="3640" w:type="dxa"/>
            <w:tcBorders>
              <w:top w:val="nil"/>
              <w:left w:val="nil"/>
              <w:bottom w:val="nil"/>
              <w:right w:val="nil"/>
            </w:tcBorders>
            <w:shd w:val="clear" w:color="auto" w:fill="auto"/>
            <w:noWrap/>
            <w:vAlign w:val="center"/>
            <w:hideMark/>
          </w:tcPr>
          <w:p w14:paraId="74F236F5" w14:textId="77777777" w:rsidR="006A47F1" w:rsidRDefault="006A47F1">
            <w:pPr>
              <w:jc w:val="right"/>
              <w:rPr>
                <w:rFonts w:ascii="Arial" w:hAnsi="Arial" w:cs="Arial"/>
                <w:color w:val="000000"/>
                <w:sz w:val="20"/>
                <w:szCs w:val="20"/>
              </w:rPr>
            </w:pPr>
          </w:p>
        </w:tc>
        <w:tc>
          <w:tcPr>
            <w:tcW w:w="1501" w:type="dxa"/>
            <w:tcBorders>
              <w:top w:val="nil"/>
              <w:left w:val="nil"/>
              <w:bottom w:val="nil"/>
              <w:right w:val="nil"/>
            </w:tcBorders>
            <w:shd w:val="clear" w:color="auto" w:fill="auto"/>
            <w:noWrap/>
            <w:vAlign w:val="center"/>
            <w:hideMark/>
          </w:tcPr>
          <w:p w14:paraId="0B334673" w14:textId="77777777" w:rsidR="006A47F1" w:rsidRDefault="006A47F1">
            <w:pPr>
              <w:rPr>
                <w:sz w:val="20"/>
                <w:szCs w:val="20"/>
              </w:rPr>
            </w:pPr>
          </w:p>
        </w:tc>
        <w:tc>
          <w:tcPr>
            <w:tcW w:w="839" w:type="dxa"/>
            <w:tcBorders>
              <w:top w:val="nil"/>
              <w:left w:val="nil"/>
              <w:bottom w:val="nil"/>
              <w:right w:val="nil"/>
            </w:tcBorders>
            <w:shd w:val="clear" w:color="auto" w:fill="auto"/>
            <w:noWrap/>
            <w:vAlign w:val="center"/>
            <w:hideMark/>
          </w:tcPr>
          <w:p w14:paraId="49225D8D" w14:textId="77777777" w:rsidR="006A47F1" w:rsidRDefault="006A47F1">
            <w:pPr>
              <w:jc w:val="right"/>
              <w:rPr>
                <w:sz w:val="20"/>
                <w:szCs w:val="20"/>
              </w:rPr>
            </w:pPr>
          </w:p>
        </w:tc>
        <w:tc>
          <w:tcPr>
            <w:tcW w:w="1391" w:type="dxa"/>
            <w:tcBorders>
              <w:top w:val="nil"/>
              <w:left w:val="nil"/>
              <w:bottom w:val="nil"/>
              <w:right w:val="nil"/>
            </w:tcBorders>
            <w:shd w:val="clear" w:color="auto" w:fill="auto"/>
            <w:noWrap/>
            <w:vAlign w:val="center"/>
            <w:hideMark/>
          </w:tcPr>
          <w:p w14:paraId="466BD7C5" w14:textId="77777777" w:rsidR="006A47F1" w:rsidRDefault="006A47F1">
            <w:pPr>
              <w:jc w:val="right"/>
              <w:rPr>
                <w:sz w:val="20"/>
                <w:szCs w:val="20"/>
              </w:rPr>
            </w:pPr>
          </w:p>
        </w:tc>
      </w:tr>
      <w:tr w:rsidR="006A47F1" w14:paraId="2A47966F" w14:textId="77777777" w:rsidTr="006A47F1">
        <w:trPr>
          <w:trHeight w:val="300"/>
        </w:trPr>
        <w:tc>
          <w:tcPr>
            <w:tcW w:w="3640" w:type="dxa"/>
            <w:tcBorders>
              <w:top w:val="nil"/>
              <w:left w:val="nil"/>
              <w:bottom w:val="nil"/>
              <w:right w:val="nil"/>
            </w:tcBorders>
            <w:shd w:val="clear" w:color="auto" w:fill="auto"/>
            <w:noWrap/>
            <w:vAlign w:val="center"/>
            <w:hideMark/>
          </w:tcPr>
          <w:p w14:paraId="127816AF" w14:textId="77777777" w:rsidR="006A47F1" w:rsidRDefault="006A47F1">
            <w:pPr>
              <w:rPr>
                <w:rFonts w:ascii="Arial" w:hAnsi="Arial" w:cs="Arial"/>
                <w:color w:val="000000"/>
                <w:sz w:val="20"/>
                <w:szCs w:val="20"/>
              </w:rPr>
            </w:pPr>
            <w:r>
              <w:rPr>
                <w:rFonts w:ascii="Arial" w:hAnsi="Arial" w:cs="Arial"/>
                <w:color w:val="000000"/>
                <w:sz w:val="20"/>
                <w:szCs w:val="20"/>
              </w:rPr>
              <w:t>Other assets</w:t>
            </w:r>
          </w:p>
        </w:tc>
        <w:tc>
          <w:tcPr>
            <w:tcW w:w="1501" w:type="dxa"/>
            <w:tcBorders>
              <w:top w:val="nil"/>
              <w:left w:val="nil"/>
              <w:bottom w:val="nil"/>
              <w:right w:val="nil"/>
            </w:tcBorders>
            <w:shd w:val="clear" w:color="auto" w:fill="auto"/>
            <w:noWrap/>
            <w:vAlign w:val="center"/>
            <w:hideMark/>
          </w:tcPr>
          <w:p w14:paraId="240AF53E" w14:textId="28C41E16" w:rsidR="006A47F1" w:rsidRDefault="003239BB">
            <w:pPr>
              <w:jc w:val="right"/>
              <w:rPr>
                <w:rFonts w:ascii="Arial" w:hAnsi="Arial" w:cs="Arial"/>
                <w:color w:val="000000"/>
                <w:sz w:val="20"/>
                <w:szCs w:val="20"/>
              </w:rPr>
            </w:pPr>
            <w:r>
              <w:rPr>
                <w:rFonts w:ascii="Arial" w:hAnsi="Arial" w:cs="Arial"/>
                <w:color w:val="000000"/>
                <w:sz w:val="20"/>
                <w:szCs w:val="20"/>
              </w:rPr>
              <w:t>189,638</w:t>
            </w:r>
          </w:p>
        </w:tc>
        <w:tc>
          <w:tcPr>
            <w:tcW w:w="839" w:type="dxa"/>
            <w:tcBorders>
              <w:top w:val="nil"/>
              <w:left w:val="nil"/>
              <w:bottom w:val="nil"/>
              <w:right w:val="nil"/>
            </w:tcBorders>
            <w:shd w:val="clear" w:color="auto" w:fill="auto"/>
            <w:noWrap/>
            <w:vAlign w:val="center"/>
            <w:hideMark/>
          </w:tcPr>
          <w:p w14:paraId="536F11CE" w14:textId="77777777" w:rsidR="006A47F1" w:rsidRDefault="006A47F1">
            <w:pPr>
              <w:jc w:val="right"/>
              <w:rPr>
                <w:rFonts w:ascii="Arial" w:hAnsi="Arial" w:cs="Arial"/>
                <w:color w:val="000000"/>
                <w:sz w:val="20"/>
                <w:szCs w:val="20"/>
              </w:rPr>
            </w:pPr>
            <w:r>
              <w:rPr>
                <w:rFonts w:ascii="Arial" w:hAnsi="Arial" w:cs="Arial"/>
                <w:color w:val="000000"/>
                <w:sz w:val="20"/>
                <w:szCs w:val="20"/>
              </w:rPr>
              <w:t>350%</w:t>
            </w:r>
          </w:p>
        </w:tc>
        <w:tc>
          <w:tcPr>
            <w:tcW w:w="1391" w:type="dxa"/>
            <w:tcBorders>
              <w:top w:val="nil"/>
              <w:left w:val="nil"/>
              <w:bottom w:val="nil"/>
              <w:right w:val="nil"/>
            </w:tcBorders>
            <w:shd w:val="clear" w:color="auto" w:fill="auto"/>
            <w:noWrap/>
            <w:vAlign w:val="center"/>
            <w:hideMark/>
          </w:tcPr>
          <w:p w14:paraId="670AF436" w14:textId="2C14D078" w:rsidR="006A47F1" w:rsidRDefault="003239BB">
            <w:pPr>
              <w:jc w:val="right"/>
              <w:rPr>
                <w:rFonts w:ascii="Arial" w:hAnsi="Arial" w:cs="Arial"/>
                <w:color w:val="000000"/>
                <w:sz w:val="20"/>
                <w:szCs w:val="20"/>
              </w:rPr>
            </w:pPr>
            <w:r>
              <w:rPr>
                <w:rFonts w:ascii="Arial" w:hAnsi="Arial" w:cs="Arial"/>
                <w:color w:val="000000"/>
                <w:sz w:val="20"/>
                <w:szCs w:val="20"/>
              </w:rPr>
              <w:t>663,733</w:t>
            </w:r>
            <w:r w:rsidR="006A47F1">
              <w:rPr>
                <w:rFonts w:ascii="Arial" w:hAnsi="Arial" w:cs="Arial"/>
                <w:color w:val="000000"/>
                <w:sz w:val="20"/>
                <w:szCs w:val="20"/>
              </w:rPr>
              <w:t xml:space="preserve"> </w:t>
            </w:r>
          </w:p>
        </w:tc>
      </w:tr>
      <w:tr w:rsidR="006A47F1" w14:paraId="0B1AA41C" w14:textId="77777777" w:rsidTr="006A47F1">
        <w:trPr>
          <w:trHeight w:val="300"/>
        </w:trPr>
        <w:tc>
          <w:tcPr>
            <w:tcW w:w="3640" w:type="dxa"/>
            <w:tcBorders>
              <w:top w:val="nil"/>
              <w:left w:val="nil"/>
              <w:bottom w:val="nil"/>
              <w:right w:val="nil"/>
            </w:tcBorders>
            <w:shd w:val="clear" w:color="auto" w:fill="auto"/>
            <w:noWrap/>
            <w:vAlign w:val="center"/>
            <w:hideMark/>
          </w:tcPr>
          <w:p w14:paraId="1762D97F" w14:textId="77777777" w:rsidR="006A47F1" w:rsidRDefault="006A47F1">
            <w:pPr>
              <w:rPr>
                <w:rFonts w:ascii="Arial" w:hAnsi="Arial" w:cs="Arial"/>
                <w:color w:val="000000"/>
                <w:sz w:val="20"/>
                <w:szCs w:val="20"/>
              </w:rPr>
            </w:pPr>
            <w:r>
              <w:rPr>
                <w:rFonts w:ascii="Arial" w:hAnsi="Arial" w:cs="Arial"/>
                <w:color w:val="000000"/>
                <w:sz w:val="20"/>
                <w:szCs w:val="20"/>
              </w:rPr>
              <w:t>Deductions from capital</w:t>
            </w:r>
          </w:p>
        </w:tc>
        <w:tc>
          <w:tcPr>
            <w:tcW w:w="1501" w:type="dxa"/>
            <w:tcBorders>
              <w:top w:val="nil"/>
              <w:left w:val="nil"/>
              <w:bottom w:val="nil"/>
              <w:right w:val="nil"/>
            </w:tcBorders>
            <w:shd w:val="clear" w:color="auto" w:fill="auto"/>
            <w:noWrap/>
            <w:vAlign w:val="center"/>
            <w:hideMark/>
          </w:tcPr>
          <w:p w14:paraId="463EA751" w14:textId="54BAAAD7" w:rsidR="006A47F1" w:rsidRDefault="00317A94">
            <w:pPr>
              <w:jc w:val="right"/>
              <w:rPr>
                <w:rFonts w:ascii="Arial" w:hAnsi="Arial" w:cs="Arial"/>
                <w:color w:val="000000"/>
                <w:sz w:val="20"/>
                <w:szCs w:val="20"/>
              </w:rPr>
            </w:pPr>
            <w:r>
              <w:rPr>
                <w:rFonts w:ascii="Arial" w:hAnsi="Arial" w:cs="Arial"/>
                <w:color w:val="000000"/>
                <w:sz w:val="20"/>
                <w:szCs w:val="20"/>
              </w:rPr>
              <w:t>89,068</w:t>
            </w:r>
            <w:r w:rsidR="006A47F1">
              <w:rPr>
                <w:rFonts w:ascii="Arial" w:hAnsi="Arial" w:cs="Arial"/>
                <w:color w:val="000000"/>
                <w:sz w:val="20"/>
                <w:szCs w:val="20"/>
              </w:rPr>
              <w:t xml:space="preserve"> </w:t>
            </w:r>
          </w:p>
        </w:tc>
        <w:tc>
          <w:tcPr>
            <w:tcW w:w="839" w:type="dxa"/>
            <w:tcBorders>
              <w:top w:val="nil"/>
              <w:left w:val="nil"/>
              <w:bottom w:val="nil"/>
              <w:right w:val="nil"/>
            </w:tcBorders>
            <w:shd w:val="clear" w:color="auto" w:fill="auto"/>
            <w:noWrap/>
            <w:vAlign w:val="center"/>
            <w:hideMark/>
          </w:tcPr>
          <w:p w14:paraId="6CA5A185" w14:textId="77777777" w:rsidR="006A47F1" w:rsidRDefault="006A47F1">
            <w:pPr>
              <w:jc w:val="right"/>
              <w:rPr>
                <w:rFonts w:ascii="Arial" w:hAnsi="Arial" w:cs="Arial"/>
                <w:color w:val="000000"/>
                <w:sz w:val="20"/>
                <w:szCs w:val="20"/>
              </w:rPr>
            </w:pPr>
          </w:p>
        </w:tc>
        <w:tc>
          <w:tcPr>
            <w:tcW w:w="1391" w:type="dxa"/>
            <w:tcBorders>
              <w:top w:val="nil"/>
              <w:left w:val="nil"/>
              <w:bottom w:val="nil"/>
              <w:right w:val="nil"/>
            </w:tcBorders>
            <w:shd w:val="clear" w:color="auto" w:fill="auto"/>
            <w:noWrap/>
            <w:vAlign w:val="center"/>
            <w:hideMark/>
          </w:tcPr>
          <w:p w14:paraId="29325604" w14:textId="77777777" w:rsidR="006A47F1" w:rsidRDefault="006A47F1">
            <w:pPr>
              <w:jc w:val="right"/>
              <w:rPr>
                <w:rFonts w:ascii="Arial" w:hAnsi="Arial" w:cs="Arial"/>
                <w:color w:val="000000"/>
                <w:sz w:val="20"/>
                <w:szCs w:val="20"/>
              </w:rPr>
            </w:pPr>
            <w:r>
              <w:rPr>
                <w:rFonts w:ascii="Arial" w:hAnsi="Arial" w:cs="Arial"/>
                <w:color w:val="000000"/>
                <w:sz w:val="20"/>
                <w:szCs w:val="20"/>
              </w:rPr>
              <w:t xml:space="preserve">               -   </w:t>
            </w:r>
          </w:p>
        </w:tc>
      </w:tr>
      <w:tr w:rsidR="006A47F1" w14:paraId="04F12BE9" w14:textId="77777777" w:rsidTr="006A47F1">
        <w:trPr>
          <w:trHeight w:val="300"/>
        </w:trPr>
        <w:tc>
          <w:tcPr>
            <w:tcW w:w="3640" w:type="dxa"/>
            <w:tcBorders>
              <w:top w:val="nil"/>
              <w:left w:val="nil"/>
              <w:bottom w:val="nil"/>
              <w:right w:val="nil"/>
            </w:tcBorders>
            <w:shd w:val="clear" w:color="auto" w:fill="auto"/>
            <w:noWrap/>
            <w:vAlign w:val="center"/>
            <w:hideMark/>
          </w:tcPr>
          <w:p w14:paraId="181672AF" w14:textId="77777777" w:rsidR="006A47F1" w:rsidRDefault="006A47F1">
            <w:pPr>
              <w:jc w:val="right"/>
              <w:rPr>
                <w:rFonts w:ascii="Arial" w:hAnsi="Arial" w:cs="Arial"/>
                <w:color w:val="000000"/>
                <w:sz w:val="20"/>
                <w:szCs w:val="20"/>
              </w:rPr>
            </w:pPr>
          </w:p>
        </w:tc>
        <w:tc>
          <w:tcPr>
            <w:tcW w:w="1501" w:type="dxa"/>
            <w:tcBorders>
              <w:top w:val="nil"/>
              <w:left w:val="nil"/>
              <w:bottom w:val="nil"/>
              <w:right w:val="nil"/>
            </w:tcBorders>
            <w:shd w:val="clear" w:color="auto" w:fill="auto"/>
            <w:noWrap/>
            <w:vAlign w:val="center"/>
            <w:hideMark/>
          </w:tcPr>
          <w:p w14:paraId="303A5301" w14:textId="77777777" w:rsidR="006A47F1" w:rsidRDefault="006A47F1">
            <w:pPr>
              <w:rPr>
                <w:sz w:val="20"/>
                <w:szCs w:val="20"/>
              </w:rPr>
            </w:pPr>
          </w:p>
        </w:tc>
        <w:tc>
          <w:tcPr>
            <w:tcW w:w="839" w:type="dxa"/>
            <w:tcBorders>
              <w:top w:val="nil"/>
              <w:left w:val="nil"/>
              <w:bottom w:val="nil"/>
              <w:right w:val="nil"/>
            </w:tcBorders>
            <w:shd w:val="clear" w:color="auto" w:fill="auto"/>
            <w:noWrap/>
            <w:vAlign w:val="center"/>
            <w:hideMark/>
          </w:tcPr>
          <w:p w14:paraId="488F2661" w14:textId="77777777" w:rsidR="006A47F1" w:rsidRDefault="006A47F1">
            <w:pPr>
              <w:jc w:val="right"/>
              <w:rPr>
                <w:sz w:val="20"/>
                <w:szCs w:val="20"/>
              </w:rPr>
            </w:pPr>
          </w:p>
        </w:tc>
        <w:tc>
          <w:tcPr>
            <w:tcW w:w="1391" w:type="dxa"/>
            <w:tcBorders>
              <w:top w:val="nil"/>
              <w:left w:val="nil"/>
              <w:bottom w:val="nil"/>
              <w:right w:val="nil"/>
            </w:tcBorders>
            <w:shd w:val="clear" w:color="auto" w:fill="auto"/>
            <w:noWrap/>
            <w:vAlign w:val="center"/>
            <w:hideMark/>
          </w:tcPr>
          <w:p w14:paraId="36C028FC" w14:textId="77777777" w:rsidR="006A47F1" w:rsidRDefault="006A47F1">
            <w:pPr>
              <w:jc w:val="right"/>
              <w:rPr>
                <w:sz w:val="20"/>
                <w:szCs w:val="20"/>
              </w:rPr>
            </w:pPr>
          </w:p>
        </w:tc>
      </w:tr>
      <w:tr w:rsidR="006A47F1" w14:paraId="2F1B0285" w14:textId="77777777" w:rsidTr="006A47F1">
        <w:trPr>
          <w:trHeight w:val="300"/>
        </w:trPr>
        <w:tc>
          <w:tcPr>
            <w:tcW w:w="3640" w:type="dxa"/>
            <w:tcBorders>
              <w:top w:val="nil"/>
              <w:left w:val="nil"/>
              <w:bottom w:val="nil"/>
              <w:right w:val="nil"/>
            </w:tcBorders>
            <w:shd w:val="clear" w:color="auto" w:fill="auto"/>
            <w:noWrap/>
            <w:vAlign w:val="center"/>
            <w:hideMark/>
          </w:tcPr>
          <w:p w14:paraId="332E2D63" w14:textId="77777777" w:rsidR="006A47F1" w:rsidRDefault="006A47F1">
            <w:pPr>
              <w:rPr>
                <w:rFonts w:ascii="Arial" w:hAnsi="Arial" w:cs="Arial"/>
                <w:color w:val="000000"/>
                <w:sz w:val="20"/>
                <w:szCs w:val="20"/>
              </w:rPr>
            </w:pPr>
            <w:r>
              <w:rPr>
                <w:rFonts w:ascii="Arial" w:hAnsi="Arial" w:cs="Arial"/>
                <w:color w:val="000000"/>
                <w:sz w:val="20"/>
                <w:szCs w:val="20"/>
              </w:rPr>
              <w:t>Total credit risk weighted exposures (A)</w:t>
            </w:r>
          </w:p>
        </w:tc>
        <w:tc>
          <w:tcPr>
            <w:tcW w:w="1501" w:type="dxa"/>
            <w:tcBorders>
              <w:top w:val="nil"/>
              <w:left w:val="nil"/>
              <w:bottom w:val="nil"/>
              <w:right w:val="nil"/>
            </w:tcBorders>
            <w:shd w:val="clear" w:color="auto" w:fill="auto"/>
            <w:noWrap/>
            <w:vAlign w:val="center"/>
            <w:hideMark/>
          </w:tcPr>
          <w:p w14:paraId="0D8FFB18" w14:textId="77777777" w:rsidR="006A47F1" w:rsidRDefault="006A47F1">
            <w:pPr>
              <w:rPr>
                <w:rFonts w:ascii="Arial" w:hAnsi="Arial" w:cs="Arial"/>
                <w:color w:val="000000"/>
                <w:sz w:val="20"/>
                <w:szCs w:val="20"/>
              </w:rPr>
            </w:pPr>
          </w:p>
        </w:tc>
        <w:tc>
          <w:tcPr>
            <w:tcW w:w="839" w:type="dxa"/>
            <w:tcBorders>
              <w:top w:val="nil"/>
              <w:left w:val="nil"/>
              <w:bottom w:val="nil"/>
              <w:right w:val="nil"/>
            </w:tcBorders>
            <w:shd w:val="clear" w:color="auto" w:fill="auto"/>
            <w:noWrap/>
            <w:vAlign w:val="center"/>
            <w:hideMark/>
          </w:tcPr>
          <w:p w14:paraId="67A0902C" w14:textId="77777777" w:rsidR="006A47F1" w:rsidRDefault="006A47F1">
            <w:pPr>
              <w:rPr>
                <w:sz w:val="20"/>
                <w:szCs w:val="20"/>
              </w:rPr>
            </w:pPr>
          </w:p>
        </w:tc>
        <w:tc>
          <w:tcPr>
            <w:tcW w:w="1391" w:type="dxa"/>
            <w:tcBorders>
              <w:top w:val="nil"/>
              <w:left w:val="nil"/>
              <w:bottom w:val="nil"/>
              <w:right w:val="nil"/>
            </w:tcBorders>
            <w:shd w:val="clear" w:color="auto" w:fill="auto"/>
            <w:noWrap/>
            <w:vAlign w:val="center"/>
            <w:hideMark/>
          </w:tcPr>
          <w:p w14:paraId="15C7DAA1" w14:textId="6DCD93EE" w:rsidR="006A47F1" w:rsidRDefault="003239BB">
            <w:pPr>
              <w:jc w:val="right"/>
              <w:rPr>
                <w:rFonts w:ascii="Arial" w:hAnsi="Arial" w:cs="Arial"/>
                <w:color w:val="000000"/>
                <w:sz w:val="20"/>
                <w:szCs w:val="20"/>
              </w:rPr>
            </w:pPr>
            <w:r>
              <w:rPr>
                <w:rFonts w:ascii="Arial" w:hAnsi="Arial" w:cs="Arial"/>
                <w:color w:val="000000"/>
                <w:sz w:val="20"/>
                <w:szCs w:val="20"/>
              </w:rPr>
              <w:t>41,633,958</w:t>
            </w:r>
          </w:p>
        </w:tc>
      </w:tr>
      <w:tr w:rsidR="006A47F1" w14:paraId="1443D8FB" w14:textId="77777777" w:rsidTr="006A47F1">
        <w:trPr>
          <w:trHeight w:val="300"/>
        </w:trPr>
        <w:tc>
          <w:tcPr>
            <w:tcW w:w="3640" w:type="dxa"/>
            <w:tcBorders>
              <w:top w:val="nil"/>
              <w:left w:val="nil"/>
              <w:bottom w:val="nil"/>
              <w:right w:val="nil"/>
            </w:tcBorders>
            <w:shd w:val="clear" w:color="auto" w:fill="auto"/>
            <w:noWrap/>
            <w:vAlign w:val="center"/>
            <w:hideMark/>
          </w:tcPr>
          <w:p w14:paraId="3A3C6C5A" w14:textId="77777777" w:rsidR="006A47F1" w:rsidRDefault="006A47F1">
            <w:pPr>
              <w:jc w:val="right"/>
              <w:rPr>
                <w:rFonts w:ascii="Arial" w:hAnsi="Arial" w:cs="Arial"/>
                <w:color w:val="000000"/>
                <w:sz w:val="20"/>
                <w:szCs w:val="20"/>
              </w:rPr>
            </w:pPr>
          </w:p>
        </w:tc>
        <w:tc>
          <w:tcPr>
            <w:tcW w:w="1501" w:type="dxa"/>
            <w:tcBorders>
              <w:top w:val="nil"/>
              <w:left w:val="nil"/>
              <w:bottom w:val="nil"/>
              <w:right w:val="nil"/>
            </w:tcBorders>
            <w:shd w:val="clear" w:color="auto" w:fill="auto"/>
            <w:noWrap/>
            <w:vAlign w:val="center"/>
            <w:hideMark/>
          </w:tcPr>
          <w:p w14:paraId="3B158FD6" w14:textId="77777777" w:rsidR="006A47F1" w:rsidRDefault="006A47F1">
            <w:pPr>
              <w:rPr>
                <w:sz w:val="20"/>
                <w:szCs w:val="20"/>
              </w:rPr>
            </w:pPr>
          </w:p>
        </w:tc>
        <w:tc>
          <w:tcPr>
            <w:tcW w:w="839" w:type="dxa"/>
            <w:tcBorders>
              <w:top w:val="nil"/>
              <w:left w:val="nil"/>
              <w:bottom w:val="nil"/>
              <w:right w:val="nil"/>
            </w:tcBorders>
            <w:shd w:val="clear" w:color="auto" w:fill="auto"/>
            <w:noWrap/>
            <w:vAlign w:val="center"/>
            <w:hideMark/>
          </w:tcPr>
          <w:p w14:paraId="453BE819" w14:textId="77777777" w:rsidR="006A47F1" w:rsidRDefault="006A47F1">
            <w:pPr>
              <w:rPr>
                <w:sz w:val="20"/>
                <w:szCs w:val="20"/>
              </w:rPr>
            </w:pPr>
          </w:p>
        </w:tc>
        <w:tc>
          <w:tcPr>
            <w:tcW w:w="1391" w:type="dxa"/>
            <w:tcBorders>
              <w:top w:val="nil"/>
              <w:left w:val="nil"/>
              <w:bottom w:val="nil"/>
              <w:right w:val="nil"/>
            </w:tcBorders>
            <w:shd w:val="clear" w:color="auto" w:fill="auto"/>
            <w:noWrap/>
            <w:vAlign w:val="center"/>
            <w:hideMark/>
          </w:tcPr>
          <w:p w14:paraId="2643DB61" w14:textId="77777777" w:rsidR="006A47F1" w:rsidRDefault="006A47F1">
            <w:pPr>
              <w:rPr>
                <w:sz w:val="20"/>
                <w:szCs w:val="20"/>
              </w:rPr>
            </w:pPr>
          </w:p>
        </w:tc>
      </w:tr>
      <w:tr w:rsidR="006A47F1" w14:paraId="65D033DC" w14:textId="77777777" w:rsidTr="006A47F1">
        <w:trPr>
          <w:trHeight w:val="300"/>
        </w:trPr>
        <w:tc>
          <w:tcPr>
            <w:tcW w:w="3640" w:type="dxa"/>
            <w:tcBorders>
              <w:top w:val="nil"/>
              <w:left w:val="nil"/>
              <w:bottom w:val="nil"/>
              <w:right w:val="nil"/>
            </w:tcBorders>
            <w:shd w:val="clear" w:color="auto" w:fill="auto"/>
            <w:noWrap/>
            <w:vAlign w:val="center"/>
            <w:hideMark/>
          </w:tcPr>
          <w:p w14:paraId="09E7C644" w14:textId="77777777" w:rsidR="006A47F1" w:rsidRDefault="006A47F1">
            <w:pPr>
              <w:rPr>
                <w:rFonts w:ascii="Arial" w:hAnsi="Arial" w:cs="Arial"/>
                <w:color w:val="000000"/>
                <w:sz w:val="20"/>
                <w:szCs w:val="20"/>
              </w:rPr>
            </w:pPr>
            <w:r>
              <w:rPr>
                <w:rFonts w:ascii="Arial" w:hAnsi="Arial" w:cs="Arial"/>
                <w:color w:val="000000"/>
                <w:sz w:val="20"/>
                <w:szCs w:val="20"/>
              </w:rPr>
              <w:t>Total assets (B)</w:t>
            </w:r>
          </w:p>
        </w:tc>
        <w:tc>
          <w:tcPr>
            <w:tcW w:w="1501" w:type="dxa"/>
            <w:tcBorders>
              <w:top w:val="nil"/>
              <w:left w:val="nil"/>
              <w:bottom w:val="nil"/>
              <w:right w:val="nil"/>
            </w:tcBorders>
            <w:shd w:val="clear" w:color="auto" w:fill="auto"/>
            <w:noWrap/>
            <w:vAlign w:val="center"/>
            <w:hideMark/>
          </w:tcPr>
          <w:p w14:paraId="1BADD135" w14:textId="78D42E7C" w:rsidR="006A47F1" w:rsidRDefault="003239BB">
            <w:pPr>
              <w:jc w:val="right"/>
              <w:rPr>
                <w:rFonts w:ascii="Arial" w:hAnsi="Arial" w:cs="Arial"/>
                <w:color w:val="000000"/>
                <w:sz w:val="20"/>
                <w:szCs w:val="20"/>
              </w:rPr>
            </w:pPr>
            <w:r>
              <w:rPr>
                <w:rFonts w:ascii="Arial" w:hAnsi="Arial" w:cs="Arial"/>
                <w:color w:val="000000"/>
                <w:sz w:val="20"/>
                <w:szCs w:val="20"/>
              </w:rPr>
              <w:t>99,151,219</w:t>
            </w:r>
          </w:p>
        </w:tc>
        <w:tc>
          <w:tcPr>
            <w:tcW w:w="839" w:type="dxa"/>
            <w:tcBorders>
              <w:top w:val="nil"/>
              <w:left w:val="nil"/>
              <w:bottom w:val="nil"/>
              <w:right w:val="nil"/>
            </w:tcBorders>
            <w:shd w:val="clear" w:color="auto" w:fill="auto"/>
            <w:noWrap/>
            <w:vAlign w:val="center"/>
            <w:hideMark/>
          </w:tcPr>
          <w:p w14:paraId="763FA210" w14:textId="77777777" w:rsidR="006A47F1" w:rsidRDefault="006A47F1">
            <w:pPr>
              <w:jc w:val="right"/>
              <w:rPr>
                <w:rFonts w:ascii="Arial" w:hAnsi="Arial" w:cs="Arial"/>
                <w:color w:val="000000"/>
                <w:sz w:val="20"/>
                <w:szCs w:val="20"/>
              </w:rPr>
            </w:pPr>
          </w:p>
        </w:tc>
        <w:tc>
          <w:tcPr>
            <w:tcW w:w="1391" w:type="dxa"/>
            <w:tcBorders>
              <w:top w:val="nil"/>
              <w:left w:val="nil"/>
              <w:bottom w:val="nil"/>
              <w:right w:val="nil"/>
            </w:tcBorders>
            <w:shd w:val="clear" w:color="auto" w:fill="auto"/>
            <w:noWrap/>
            <w:vAlign w:val="center"/>
            <w:hideMark/>
          </w:tcPr>
          <w:p w14:paraId="0239286B" w14:textId="77777777" w:rsidR="006A47F1" w:rsidRDefault="006A47F1">
            <w:pPr>
              <w:rPr>
                <w:sz w:val="20"/>
                <w:szCs w:val="20"/>
              </w:rPr>
            </w:pPr>
          </w:p>
        </w:tc>
      </w:tr>
      <w:tr w:rsidR="006A47F1" w14:paraId="5B80261A" w14:textId="77777777" w:rsidTr="006A47F1">
        <w:trPr>
          <w:trHeight w:val="300"/>
        </w:trPr>
        <w:tc>
          <w:tcPr>
            <w:tcW w:w="3640" w:type="dxa"/>
            <w:tcBorders>
              <w:top w:val="nil"/>
              <w:left w:val="nil"/>
              <w:bottom w:val="nil"/>
              <w:right w:val="nil"/>
            </w:tcBorders>
            <w:shd w:val="clear" w:color="auto" w:fill="auto"/>
            <w:noWrap/>
            <w:vAlign w:val="center"/>
            <w:hideMark/>
          </w:tcPr>
          <w:p w14:paraId="7F627874" w14:textId="77777777" w:rsidR="006A47F1" w:rsidRDefault="006A47F1">
            <w:pPr>
              <w:rPr>
                <w:rFonts w:ascii="Arial" w:hAnsi="Arial" w:cs="Arial"/>
                <w:color w:val="000000"/>
                <w:sz w:val="20"/>
                <w:szCs w:val="20"/>
              </w:rPr>
            </w:pPr>
            <w:r>
              <w:rPr>
                <w:rFonts w:ascii="Arial" w:hAnsi="Arial" w:cs="Arial"/>
                <w:color w:val="000000"/>
                <w:sz w:val="20"/>
                <w:szCs w:val="20"/>
              </w:rPr>
              <w:t>Operational and Market Exposures</w:t>
            </w:r>
          </w:p>
        </w:tc>
        <w:tc>
          <w:tcPr>
            <w:tcW w:w="1501" w:type="dxa"/>
            <w:tcBorders>
              <w:top w:val="nil"/>
              <w:left w:val="nil"/>
              <w:bottom w:val="nil"/>
              <w:right w:val="nil"/>
            </w:tcBorders>
            <w:shd w:val="clear" w:color="auto" w:fill="auto"/>
            <w:noWrap/>
            <w:vAlign w:val="center"/>
            <w:hideMark/>
          </w:tcPr>
          <w:p w14:paraId="7FB402CE" w14:textId="77777777" w:rsidR="006A47F1" w:rsidRDefault="006A47F1">
            <w:pPr>
              <w:rPr>
                <w:rFonts w:ascii="Arial" w:hAnsi="Arial" w:cs="Arial"/>
                <w:color w:val="000000"/>
                <w:sz w:val="20"/>
                <w:szCs w:val="20"/>
              </w:rPr>
            </w:pPr>
            <w:r>
              <w:rPr>
                <w:rFonts w:ascii="Arial" w:hAnsi="Arial" w:cs="Arial"/>
                <w:color w:val="000000"/>
                <w:sz w:val="20"/>
                <w:szCs w:val="20"/>
              </w:rPr>
              <w:t>(A+B)/2x0.175</w:t>
            </w:r>
          </w:p>
        </w:tc>
        <w:tc>
          <w:tcPr>
            <w:tcW w:w="839" w:type="dxa"/>
            <w:tcBorders>
              <w:top w:val="nil"/>
              <w:left w:val="nil"/>
              <w:bottom w:val="nil"/>
              <w:right w:val="nil"/>
            </w:tcBorders>
            <w:shd w:val="clear" w:color="auto" w:fill="auto"/>
            <w:noWrap/>
            <w:vAlign w:val="center"/>
            <w:hideMark/>
          </w:tcPr>
          <w:p w14:paraId="37DCA507" w14:textId="77777777" w:rsidR="006A47F1" w:rsidRDefault="006A47F1">
            <w:pPr>
              <w:rPr>
                <w:rFonts w:ascii="Arial" w:hAnsi="Arial" w:cs="Arial"/>
                <w:color w:val="000000"/>
                <w:sz w:val="20"/>
                <w:szCs w:val="20"/>
              </w:rPr>
            </w:pPr>
          </w:p>
        </w:tc>
        <w:tc>
          <w:tcPr>
            <w:tcW w:w="1391" w:type="dxa"/>
            <w:tcBorders>
              <w:top w:val="nil"/>
              <w:left w:val="nil"/>
              <w:bottom w:val="nil"/>
              <w:right w:val="nil"/>
            </w:tcBorders>
            <w:shd w:val="clear" w:color="auto" w:fill="auto"/>
            <w:noWrap/>
            <w:vAlign w:val="center"/>
            <w:hideMark/>
          </w:tcPr>
          <w:p w14:paraId="26B3D1B0" w14:textId="1244878C" w:rsidR="006A47F1" w:rsidRDefault="003239BB">
            <w:pPr>
              <w:jc w:val="right"/>
              <w:rPr>
                <w:rFonts w:ascii="Arial" w:hAnsi="Arial" w:cs="Arial"/>
                <w:color w:val="000000"/>
                <w:sz w:val="20"/>
                <w:szCs w:val="20"/>
              </w:rPr>
            </w:pPr>
            <w:r>
              <w:rPr>
                <w:rFonts w:ascii="Arial" w:hAnsi="Arial" w:cs="Arial"/>
                <w:color w:val="000000"/>
                <w:sz w:val="20"/>
                <w:szCs w:val="20"/>
              </w:rPr>
              <w:t>12,318,703</w:t>
            </w:r>
          </w:p>
        </w:tc>
      </w:tr>
      <w:tr w:rsidR="006A47F1" w14:paraId="0623A515" w14:textId="77777777" w:rsidTr="006A47F1">
        <w:trPr>
          <w:trHeight w:val="315"/>
        </w:trPr>
        <w:tc>
          <w:tcPr>
            <w:tcW w:w="3640" w:type="dxa"/>
            <w:tcBorders>
              <w:top w:val="nil"/>
              <w:left w:val="nil"/>
              <w:bottom w:val="nil"/>
              <w:right w:val="nil"/>
            </w:tcBorders>
            <w:shd w:val="clear" w:color="auto" w:fill="auto"/>
            <w:noWrap/>
            <w:vAlign w:val="center"/>
            <w:hideMark/>
          </w:tcPr>
          <w:p w14:paraId="5E429321" w14:textId="77777777" w:rsidR="006A47F1" w:rsidRDefault="006A47F1">
            <w:pPr>
              <w:jc w:val="right"/>
              <w:rPr>
                <w:rFonts w:ascii="Arial" w:hAnsi="Arial" w:cs="Arial"/>
                <w:color w:val="000000"/>
                <w:sz w:val="20"/>
                <w:szCs w:val="20"/>
              </w:rPr>
            </w:pPr>
          </w:p>
        </w:tc>
        <w:tc>
          <w:tcPr>
            <w:tcW w:w="1501" w:type="dxa"/>
            <w:tcBorders>
              <w:top w:val="nil"/>
              <w:left w:val="nil"/>
              <w:bottom w:val="nil"/>
              <w:right w:val="nil"/>
            </w:tcBorders>
            <w:shd w:val="clear" w:color="auto" w:fill="auto"/>
            <w:noWrap/>
            <w:vAlign w:val="center"/>
            <w:hideMark/>
          </w:tcPr>
          <w:p w14:paraId="3B13311B" w14:textId="77777777" w:rsidR="006A47F1" w:rsidRDefault="006A47F1">
            <w:pPr>
              <w:rPr>
                <w:sz w:val="20"/>
                <w:szCs w:val="20"/>
              </w:rPr>
            </w:pPr>
          </w:p>
        </w:tc>
        <w:tc>
          <w:tcPr>
            <w:tcW w:w="839" w:type="dxa"/>
            <w:tcBorders>
              <w:top w:val="nil"/>
              <w:left w:val="nil"/>
              <w:bottom w:val="nil"/>
              <w:right w:val="nil"/>
            </w:tcBorders>
            <w:shd w:val="clear" w:color="auto" w:fill="auto"/>
            <w:noWrap/>
            <w:vAlign w:val="center"/>
            <w:hideMark/>
          </w:tcPr>
          <w:p w14:paraId="6A4FA3A9" w14:textId="77777777" w:rsidR="006A47F1" w:rsidRDefault="006A47F1">
            <w:pPr>
              <w:rPr>
                <w:sz w:val="20"/>
                <w:szCs w:val="20"/>
              </w:rPr>
            </w:pPr>
          </w:p>
        </w:tc>
        <w:tc>
          <w:tcPr>
            <w:tcW w:w="1391" w:type="dxa"/>
            <w:tcBorders>
              <w:top w:val="nil"/>
              <w:left w:val="nil"/>
              <w:bottom w:val="single" w:sz="8" w:space="0" w:color="auto"/>
              <w:right w:val="nil"/>
            </w:tcBorders>
            <w:shd w:val="clear" w:color="auto" w:fill="auto"/>
            <w:noWrap/>
            <w:vAlign w:val="center"/>
            <w:hideMark/>
          </w:tcPr>
          <w:p w14:paraId="0C4675D8" w14:textId="77777777" w:rsidR="006A47F1" w:rsidRDefault="006A47F1">
            <w:pPr>
              <w:jc w:val="right"/>
              <w:rPr>
                <w:rFonts w:ascii="Arial" w:hAnsi="Arial" w:cs="Arial"/>
                <w:color w:val="000000"/>
                <w:sz w:val="20"/>
                <w:szCs w:val="20"/>
              </w:rPr>
            </w:pPr>
            <w:r>
              <w:rPr>
                <w:rFonts w:ascii="Arial" w:hAnsi="Arial" w:cs="Arial"/>
                <w:color w:val="000000"/>
                <w:sz w:val="20"/>
                <w:szCs w:val="20"/>
              </w:rPr>
              <w:t> </w:t>
            </w:r>
          </w:p>
        </w:tc>
      </w:tr>
      <w:tr w:rsidR="006A47F1" w14:paraId="6F5BF666" w14:textId="77777777" w:rsidTr="006A47F1">
        <w:trPr>
          <w:trHeight w:val="300"/>
        </w:trPr>
        <w:tc>
          <w:tcPr>
            <w:tcW w:w="3640" w:type="dxa"/>
            <w:tcBorders>
              <w:top w:val="nil"/>
              <w:left w:val="nil"/>
              <w:bottom w:val="nil"/>
              <w:right w:val="nil"/>
            </w:tcBorders>
            <w:shd w:val="clear" w:color="auto" w:fill="auto"/>
            <w:noWrap/>
            <w:vAlign w:val="center"/>
            <w:hideMark/>
          </w:tcPr>
          <w:p w14:paraId="2080C04B" w14:textId="77777777" w:rsidR="006A47F1" w:rsidRDefault="006A47F1">
            <w:pPr>
              <w:rPr>
                <w:rFonts w:ascii="Arial" w:hAnsi="Arial" w:cs="Arial"/>
                <w:color w:val="000000"/>
                <w:sz w:val="20"/>
                <w:szCs w:val="20"/>
              </w:rPr>
            </w:pPr>
            <w:r>
              <w:rPr>
                <w:rFonts w:ascii="Arial" w:hAnsi="Arial" w:cs="Arial"/>
                <w:color w:val="000000"/>
                <w:sz w:val="20"/>
                <w:szCs w:val="20"/>
              </w:rPr>
              <w:t>Total Exposures</w:t>
            </w:r>
          </w:p>
        </w:tc>
        <w:tc>
          <w:tcPr>
            <w:tcW w:w="1501" w:type="dxa"/>
            <w:tcBorders>
              <w:top w:val="nil"/>
              <w:left w:val="nil"/>
              <w:bottom w:val="nil"/>
              <w:right w:val="nil"/>
            </w:tcBorders>
            <w:shd w:val="clear" w:color="auto" w:fill="auto"/>
            <w:noWrap/>
            <w:vAlign w:val="center"/>
            <w:hideMark/>
          </w:tcPr>
          <w:p w14:paraId="065DB06D" w14:textId="77777777" w:rsidR="006A47F1" w:rsidRDefault="006A47F1">
            <w:pPr>
              <w:rPr>
                <w:rFonts w:ascii="Arial" w:hAnsi="Arial" w:cs="Arial"/>
                <w:color w:val="000000"/>
                <w:sz w:val="20"/>
                <w:szCs w:val="20"/>
              </w:rPr>
            </w:pPr>
          </w:p>
        </w:tc>
        <w:tc>
          <w:tcPr>
            <w:tcW w:w="839" w:type="dxa"/>
            <w:tcBorders>
              <w:top w:val="nil"/>
              <w:left w:val="nil"/>
              <w:bottom w:val="nil"/>
              <w:right w:val="nil"/>
            </w:tcBorders>
            <w:shd w:val="clear" w:color="auto" w:fill="auto"/>
            <w:noWrap/>
            <w:vAlign w:val="center"/>
            <w:hideMark/>
          </w:tcPr>
          <w:p w14:paraId="5345FB65" w14:textId="77777777" w:rsidR="006A47F1" w:rsidRDefault="006A47F1">
            <w:pPr>
              <w:rPr>
                <w:sz w:val="20"/>
                <w:szCs w:val="20"/>
              </w:rPr>
            </w:pPr>
          </w:p>
        </w:tc>
        <w:tc>
          <w:tcPr>
            <w:tcW w:w="1391" w:type="dxa"/>
            <w:tcBorders>
              <w:top w:val="nil"/>
              <w:left w:val="nil"/>
              <w:bottom w:val="nil"/>
              <w:right w:val="nil"/>
            </w:tcBorders>
            <w:shd w:val="clear" w:color="auto" w:fill="auto"/>
            <w:noWrap/>
            <w:vAlign w:val="center"/>
            <w:hideMark/>
          </w:tcPr>
          <w:p w14:paraId="3ECA3B91" w14:textId="3C4AE37D" w:rsidR="006A47F1" w:rsidRDefault="003239BB">
            <w:pPr>
              <w:jc w:val="right"/>
              <w:rPr>
                <w:rFonts w:ascii="Arial" w:hAnsi="Arial" w:cs="Arial"/>
                <w:color w:val="000000"/>
                <w:sz w:val="20"/>
                <w:szCs w:val="20"/>
              </w:rPr>
            </w:pPr>
            <w:r>
              <w:rPr>
                <w:rFonts w:ascii="Arial" w:hAnsi="Arial" w:cs="Arial"/>
                <w:color w:val="000000"/>
                <w:sz w:val="20"/>
                <w:szCs w:val="20"/>
              </w:rPr>
              <w:t>53,952,661</w:t>
            </w:r>
          </w:p>
        </w:tc>
      </w:tr>
      <w:tr w:rsidR="006A47F1" w14:paraId="753CB9C8" w14:textId="77777777" w:rsidTr="006A47F1">
        <w:trPr>
          <w:trHeight w:val="300"/>
        </w:trPr>
        <w:tc>
          <w:tcPr>
            <w:tcW w:w="3640" w:type="dxa"/>
            <w:tcBorders>
              <w:top w:val="nil"/>
              <w:left w:val="nil"/>
              <w:bottom w:val="nil"/>
              <w:right w:val="nil"/>
            </w:tcBorders>
            <w:shd w:val="clear" w:color="auto" w:fill="auto"/>
            <w:noWrap/>
            <w:vAlign w:val="center"/>
            <w:hideMark/>
          </w:tcPr>
          <w:p w14:paraId="3608A742" w14:textId="77777777" w:rsidR="006A47F1" w:rsidRDefault="006A47F1">
            <w:pPr>
              <w:jc w:val="right"/>
              <w:rPr>
                <w:rFonts w:ascii="Arial" w:hAnsi="Arial" w:cs="Arial"/>
                <w:color w:val="000000"/>
                <w:sz w:val="20"/>
                <w:szCs w:val="20"/>
              </w:rPr>
            </w:pPr>
          </w:p>
        </w:tc>
        <w:tc>
          <w:tcPr>
            <w:tcW w:w="1501" w:type="dxa"/>
            <w:tcBorders>
              <w:top w:val="nil"/>
              <w:left w:val="nil"/>
              <w:bottom w:val="nil"/>
              <w:right w:val="nil"/>
            </w:tcBorders>
            <w:shd w:val="clear" w:color="auto" w:fill="auto"/>
            <w:noWrap/>
            <w:vAlign w:val="center"/>
            <w:hideMark/>
          </w:tcPr>
          <w:p w14:paraId="050560BA" w14:textId="77777777" w:rsidR="006A47F1" w:rsidRDefault="006A47F1">
            <w:pPr>
              <w:rPr>
                <w:sz w:val="20"/>
                <w:szCs w:val="20"/>
              </w:rPr>
            </w:pPr>
          </w:p>
        </w:tc>
        <w:tc>
          <w:tcPr>
            <w:tcW w:w="839" w:type="dxa"/>
            <w:tcBorders>
              <w:top w:val="nil"/>
              <w:left w:val="nil"/>
              <w:bottom w:val="nil"/>
              <w:right w:val="nil"/>
            </w:tcBorders>
            <w:shd w:val="clear" w:color="auto" w:fill="auto"/>
            <w:noWrap/>
            <w:vAlign w:val="center"/>
            <w:hideMark/>
          </w:tcPr>
          <w:p w14:paraId="3A5C7991" w14:textId="77777777" w:rsidR="006A47F1" w:rsidRDefault="006A47F1">
            <w:pPr>
              <w:rPr>
                <w:sz w:val="20"/>
                <w:szCs w:val="20"/>
              </w:rPr>
            </w:pPr>
          </w:p>
        </w:tc>
        <w:tc>
          <w:tcPr>
            <w:tcW w:w="1391" w:type="dxa"/>
            <w:tcBorders>
              <w:top w:val="nil"/>
              <w:left w:val="nil"/>
              <w:bottom w:val="nil"/>
              <w:right w:val="nil"/>
            </w:tcBorders>
            <w:shd w:val="clear" w:color="auto" w:fill="auto"/>
            <w:noWrap/>
            <w:vAlign w:val="center"/>
            <w:hideMark/>
          </w:tcPr>
          <w:p w14:paraId="08B079C9" w14:textId="77777777" w:rsidR="006A47F1" w:rsidRDefault="006A47F1">
            <w:pPr>
              <w:rPr>
                <w:sz w:val="20"/>
                <w:szCs w:val="20"/>
              </w:rPr>
            </w:pPr>
          </w:p>
        </w:tc>
      </w:tr>
      <w:tr w:rsidR="006A47F1" w14:paraId="22A665E8" w14:textId="77777777" w:rsidTr="006A47F1">
        <w:trPr>
          <w:trHeight w:val="300"/>
        </w:trPr>
        <w:tc>
          <w:tcPr>
            <w:tcW w:w="3640" w:type="dxa"/>
            <w:tcBorders>
              <w:top w:val="nil"/>
              <w:left w:val="nil"/>
              <w:bottom w:val="nil"/>
              <w:right w:val="nil"/>
            </w:tcBorders>
            <w:shd w:val="clear" w:color="auto" w:fill="auto"/>
            <w:noWrap/>
            <w:vAlign w:val="center"/>
            <w:hideMark/>
          </w:tcPr>
          <w:p w14:paraId="35B01C7A" w14:textId="1F386331" w:rsidR="006A47F1" w:rsidRDefault="006A47F1">
            <w:pPr>
              <w:rPr>
                <w:rFonts w:ascii="Arial" w:hAnsi="Arial" w:cs="Arial"/>
                <w:b/>
                <w:bCs/>
                <w:color w:val="000000"/>
                <w:sz w:val="20"/>
                <w:szCs w:val="20"/>
              </w:rPr>
            </w:pPr>
            <w:r>
              <w:rPr>
                <w:rFonts w:ascii="Arial" w:hAnsi="Arial" w:cs="Arial"/>
                <w:b/>
                <w:bCs/>
                <w:color w:val="000000"/>
                <w:sz w:val="20"/>
                <w:szCs w:val="20"/>
              </w:rPr>
              <w:t xml:space="preserve">Capital Ratio </w:t>
            </w:r>
            <w:proofErr w:type="gramStart"/>
            <w:r>
              <w:rPr>
                <w:rFonts w:ascii="Arial" w:hAnsi="Arial" w:cs="Arial"/>
                <w:b/>
                <w:bCs/>
                <w:color w:val="000000"/>
                <w:sz w:val="20"/>
                <w:szCs w:val="20"/>
              </w:rPr>
              <w:t>at</w:t>
            </w:r>
            <w:proofErr w:type="gramEnd"/>
            <w:r>
              <w:rPr>
                <w:rFonts w:ascii="Arial" w:hAnsi="Arial" w:cs="Arial"/>
                <w:b/>
                <w:bCs/>
                <w:color w:val="000000"/>
                <w:sz w:val="20"/>
                <w:szCs w:val="20"/>
              </w:rPr>
              <w:t xml:space="preserve"> 31 March 202</w:t>
            </w:r>
            <w:r w:rsidR="003239BB">
              <w:rPr>
                <w:rFonts w:ascii="Arial" w:hAnsi="Arial" w:cs="Arial"/>
                <w:b/>
                <w:bCs/>
                <w:color w:val="000000"/>
                <w:sz w:val="20"/>
                <w:szCs w:val="20"/>
              </w:rPr>
              <w:t>2</w:t>
            </w:r>
          </w:p>
        </w:tc>
        <w:tc>
          <w:tcPr>
            <w:tcW w:w="1501" w:type="dxa"/>
            <w:vMerge w:val="restart"/>
            <w:tcBorders>
              <w:top w:val="nil"/>
              <w:left w:val="nil"/>
              <w:bottom w:val="nil"/>
              <w:right w:val="nil"/>
            </w:tcBorders>
            <w:shd w:val="clear" w:color="auto" w:fill="auto"/>
            <w:noWrap/>
            <w:vAlign w:val="center"/>
            <w:hideMark/>
          </w:tcPr>
          <w:p w14:paraId="404140AC" w14:textId="77777777" w:rsidR="006A47F1" w:rsidRDefault="006A47F1">
            <w:pPr>
              <w:rPr>
                <w:rFonts w:ascii="Arial" w:hAnsi="Arial" w:cs="Arial"/>
                <w:b/>
                <w:bCs/>
                <w:color w:val="000000"/>
                <w:sz w:val="20"/>
                <w:szCs w:val="20"/>
              </w:rPr>
            </w:pPr>
          </w:p>
        </w:tc>
        <w:tc>
          <w:tcPr>
            <w:tcW w:w="839" w:type="dxa"/>
            <w:vMerge w:val="restart"/>
            <w:tcBorders>
              <w:top w:val="nil"/>
              <w:left w:val="nil"/>
              <w:bottom w:val="nil"/>
              <w:right w:val="nil"/>
            </w:tcBorders>
            <w:shd w:val="clear" w:color="auto" w:fill="auto"/>
            <w:noWrap/>
            <w:vAlign w:val="center"/>
            <w:hideMark/>
          </w:tcPr>
          <w:p w14:paraId="225AE3D9" w14:textId="77777777" w:rsidR="006A47F1" w:rsidRDefault="006A47F1">
            <w:pPr>
              <w:rPr>
                <w:sz w:val="20"/>
                <w:szCs w:val="20"/>
              </w:rPr>
            </w:pPr>
          </w:p>
        </w:tc>
        <w:tc>
          <w:tcPr>
            <w:tcW w:w="1391" w:type="dxa"/>
            <w:vMerge w:val="restart"/>
            <w:tcBorders>
              <w:top w:val="nil"/>
              <w:left w:val="nil"/>
              <w:bottom w:val="nil"/>
              <w:right w:val="nil"/>
            </w:tcBorders>
            <w:shd w:val="clear" w:color="auto" w:fill="auto"/>
            <w:noWrap/>
            <w:vAlign w:val="center"/>
            <w:hideMark/>
          </w:tcPr>
          <w:p w14:paraId="13E3BBC0" w14:textId="6EAE54D2" w:rsidR="006A47F1" w:rsidRDefault="006A47F1">
            <w:pPr>
              <w:jc w:val="right"/>
              <w:rPr>
                <w:rFonts w:ascii="Arial" w:hAnsi="Arial" w:cs="Arial"/>
                <w:b/>
                <w:bCs/>
                <w:color w:val="000000"/>
                <w:sz w:val="20"/>
                <w:szCs w:val="20"/>
              </w:rPr>
            </w:pPr>
            <w:r>
              <w:rPr>
                <w:rFonts w:ascii="Arial" w:hAnsi="Arial" w:cs="Arial"/>
                <w:b/>
                <w:bCs/>
                <w:color w:val="000000"/>
                <w:sz w:val="20"/>
                <w:szCs w:val="20"/>
              </w:rPr>
              <w:t>1</w:t>
            </w:r>
            <w:r w:rsidR="003239BB">
              <w:rPr>
                <w:rFonts w:ascii="Arial" w:hAnsi="Arial" w:cs="Arial"/>
                <w:b/>
                <w:bCs/>
                <w:color w:val="000000"/>
                <w:sz w:val="20"/>
                <w:szCs w:val="20"/>
              </w:rPr>
              <w:t>8</w:t>
            </w:r>
            <w:r>
              <w:rPr>
                <w:rFonts w:ascii="Arial" w:hAnsi="Arial" w:cs="Arial"/>
                <w:b/>
                <w:bCs/>
                <w:color w:val="000000"/>
                <w:sz w:val="20"/>
                <w:szCs w:val="20"/>
              </w:rPr>
              <w:t>%</w:t>
            </w:r>
          </w:p>
        </w:tc>
      </w:tr>
      <w:tr w:rsidR="006A47F1" w14:paraId="7301D078" w14:textId="77777777" w:rsidTr="006A47F1">
        <w:trPr>
          <w:trHeight w:val="300"/>
        </w:trPr>
        <w:tc>
          <w:tcPr>
            <w:tcW w:w="3640" w:type="dxa"/>
            <w:tcBorders>
              <w:top w:val="nil"/>
              <w:left w:val="nil"/>
              <w:bottom w:val="nil"/>
              <w:right w:val="nil"/>
            </w:tcBorders>
            <w:shd w:val="clear" w:color="auto" w:fill="auto"/>
            <w:noWrap/>
            <w:vAlign w:val="center"/>
            <w:hideMark/>
          </w:tcPr>
          <w:p w14:paraId="64A02EC0" w14:textId="77777777" w:rsidR="006A47F1" w:rsidRDefault="006A47F1">
            <w:pPr>
              <w:rPr>
                <w:rFonts w:ascii="Arial" w:hAnsi="Arial" w:cs="Arial"/>
                <w:color w:val="000000"/>
                <w:sz w:val="20"/>
                <w:szCs w:val="20"/>
              </w:rPr>
            </w:pPr>
            <w:r>
              <w:rPr>
                <w:rFonts w:ascii="Arial" w:hAnsi="Arial" w:cs="Arial"/>
                <w:color w:val="000000"/>
                <w:sz w:val="20"/>
                <w:szCs w:val="20"/>
              </w:rPr>
              <w:t>(</w:t>
            </w:r>
            <w:proofErr w:type="gramStart"/>
            <w:r>
              <w:rPr>
                <w:rFonts w:ascii="Arial" w:hAnsi="Arial" w:cs="Arial"/>
                <w:color w:val="000000"/>
                <w:sz w:val="20"/>
                <w:szCs w:val="20"/>
              </w:rPr>
              <w:t>being</w:t>
            </w:r>
            <w:proofErr w:type="gramEnd"/>
            <w:r>
              <w:rPr>
                <w:rFonts w:ascii="Arial" w:hAnsi="Arial" w:cs="Arial"/>
                <w:color w:val="000000"/>
                <w:sz w:val="20"/>
                <w:szCs w:val="20"/>
              </w:rPr>
              <w:t xml:space="preserve"> Total Capital/Total Exposures)</w:t>
            </w:r>
          </w:p>
        </w:tc>
        <w:tc>
          <w:tcPr>
            <w:tcW w:w="1501" w:type="dxa"/>
            <w:vMerge/>
            <w:tcBorders>
              <w:top w:val="nil"/>
              <w:left w:val="nil"/>
              <w:bottom w:val="nil"/>
              <w:right w:val="nil"/>
            </w:tcBorders>
            <w:vAlign w:val="center"/>
            <w:hideMark/>
          </w:tcPr>
          <w:p w14:paraId="702E61CD" w14:textId="77777777" w:rsidR="006A47F1" w:rsidRDefault="006A47F1">
            <w:pPr>
              <w:rPr>
                <w:rFonts w:ascii="Arial" w:hAnsi="Arial" w:cs="Arial"/>
                <w:b/>
                <w:bCs/>
                <w:color w:val="000000"/>
                <w:sz w:val="20"/>
                <w:szCs w:val="20"/>
              </w:rPr>
            </w:pPr>
          </w:p>
        </w:tc>
        <w:tc>
          <w:tcPr>
            <w:tcW w:w="839" w:type="dxa"/>
            <w:vMerge/>
            <w:tcBorders>
              <w:top w:val="nil"/>
              <w:left w:val="nil"/>
              <w:bottom w:val="nil"/>
              <w:right w:val="nil"/>
            </w:tcBorders>
            <w:vAlign w:val="center"/>
            <w:hideMark/>
          </w:tcPr>
          <w:p w14:paraId="3E6ADE73" w14:textId="77777777" w:rsidR="006A47F1" w:rsidRDefault="006A47F1">
            <w:pPr>
              <w:rPr>
                <w:sz w:val="20"/>
                <w:szCs w:val="20"/>
              </w:rPr>
            </w:pPr>
          </w:p>
        </w:tc>
        <w:tc>
          <w:tcPr>
            <w:tcW w:w="1391" w:type="dxa"/>
            <w:vMerge/>
            <w:tcBorders>
              <w:top w:val="nil"/>
              <w:left w:val="nil"/>
              <w:bottom w:val="nil"/>
              <w:right w:val="nil"/>
            </w:tcBorders>
            <w:vAlign w:val="center"/>
            <w:hideMark/>
          </w:tcPr>
          <w:p w14:paraId="24E4A7B0" w14:textId="77777777" w:rsidR="006A47F1" w:rsidRDefault="006A47F1">
            <w:pPr>
              <w:rPr>
                <w:rFonts w:ascii="Arial" w:hAnsi="Arial" w:cs="Arial"/>
                <w:b/>
                <w:bCs/>
                <w:color w:val="000000"/>
                <w:sz w:val="20"/>
                <w:szCs w:val="20"/>
              </w:rPr>
            </w:pPr>
          </w:p>
        </w:tc>
      </w:tr>
    </w:tbl>
    <w:p w14:paraId="0346D08E" w14:textId="77777777" w:rsidR="00C63A7D" w:rsidRDefault="00C63A7D" w:rsidP="00C63A7D">
      <w:pPr>
        <w:rPr>
          <w:rFonts w:ascii="Arial" w:eastAsia="TimesNewRomanPSMT-Identity-H" w:hAnsi="Arial" w:cs="TimesNewRomanPSMT-Identity-H"/>
          <w:sz w:val="20"/>
          <w:szCs w:val="20"/>
        </w:rPr>
      </w:pPr>
    </w:p>
    <w:p w14:paraId="4D61C122" w14:textId="77777777" w:rsidR="007C7B00" w:rsidRDefault="007C7B00">
      <w:r>
        <w:br w:type="page"/>
      </w:r>
    </w:p>
    <w:tbl>
      <w:tblPr>
        <w:tblW w:w="7371" w:type="dxa"/>
        <w:tblLook w:val="04A0" w:firstRow="1" w:lastRow="0" w:firstColumn="1" w:lastColumn="0" w:noHBand="0" w:noVBand="1"/>
      </w:tblPr>
      <w:tblGrid>
        <w:gridCol w:w="3640"/>
        <w:gridCol w:w="1501"/>
        <w:gridCol w:w="839"/>
        <w:gridCol w:w="1391"/>
      </w:tblGrid>
      <w:tr w:rsidR="00543335" w14:paraId="495E3B16" w14:textId="77777777" w:rsidTr="004D2E48">
        <w:trPr>
          <w:trHeight w:val="300"/>
        </w:trPr>
        <w:tc>
          <w:tcPr>
            <w:tcW w:w="3640" w:type="dxa"/>
            <w:tcBorders>
              <w:top w:val="nil"/>
              <w:left w:val="nil"/>
              <w:bottom w:val="nil"/>
              <w:right w:val="nil"/>
            </w:tcBorders>
            <w:shd w:val="clear" w:color="auto" w:fill="auto"/>
            <w:noWrap/>
            <w:vAlign w:val="center"/>
            <w:hideMark/>
          </w:tcPr>
          <w:p w14:paraId="78468BF3" w14:textId="77777777" w:rsidR="00543335" w:rsidRDefault="00543335" w:rsidP="004D2E48">
            <w:pPr>
              <w:rPr>
                <w:rFonts w:ascii="Arial" w:hAnsi="Arial" w:cs="Arial"/>
                <w:b/>
                <w:bCs/>
                <w:color w:val="000000"/>
                <w:sz w:val="20"/>
                <w:szCs w:val="20"/>
              </w:rPr>
            </w:pPr>
            <w:r>
              <w:rPr>
                <w:rFonts w:ascii="Arial" w:hAnsi="Arial" w:cs="Arial"/>
                <w:b/>
                <w:bCs/>
                <w:color w:val="000000"/>
                <w:sz w:val="20"/>
                <w:szCs w:val="20"/>
              </w:rPr>
              <w:lastRenderedPageBreak/>
              <w:t>Capital ratio</w:t>
            </w:r>
          </w:p>
        </w:tc>
        <w:tc>
          <w:tcPr>
            <w:tcW w:w="1501" w:type="dxa"/>
            <w:tcBorders>
              <w:top w:val="nil"/>
              <w:left w:val="nil"/>
              <w:bottom w:val="nil"/>
              <w:right w:val="nil"/>
            </w:tcBorders>
            <w:shd w:val="clear" w:color="auto" w:fill="auto"/>
            <w:noWrap/>
            <w:vAlign w:val="bottom"/>
            <w:hideMark/>
          </w:tcPr>
          <w:p w14:paraId="4573EEBA" w14:textId="77777777" w:rsidR="00543335" w:rsidRDefault="00543335" w:rsidP="004D2E48">
            <w:pPr>
              <w:rPr>
                <w:rFonts w:ascii="Arial" w:hAnsi="Arial" w:cs="Arial"/>
                <w:b/>
                <w:bCs/>
                <w:color w:val="000000"/>
                <w:sz w:val="20"/>
                <w:szCs w:val="20"/>
              </w:rPr>
            </w:pPr>
          </w:p>
        </w:tc>
        <w:tc>
          <w:tcPr>
            <w:tcW w:w="839" w:type="dxa"/>
            <w:tcBorders>
              <w:top w:val="nil"/>
              <w:left w:val="nil"/>
              <w:bottom w:val="nil"/>
              <w:right w:val="nil"/>
            </w:tcBorders>
            <w:shd w:val="clear" w:color="auto" w:fill="auto"/>
            <w:noWrap/>
            <w:vAlign w:val="bottom"/>
            <w:hideMark/>
          </w:tcPr>
          <w:p w14:paraId="0B9A1C62" w14:textId="77777777" w:rsidR="00543335" w:rsidRDefault="00543335" w:rsidP="004D2E48">
            <w:pPr>
              <w:rPr>
                <w:sz w:val="20"/>
                <w:szCs w:val="20"/>
              </w:rPr>
            </w:pPr>
          </w:p>
        </w:tc>
        <w:tc>
          <w:tcPr>
            <w:tcW w:w="1391" w:type="dxa"/>
            <w:tcBorders>
              <w:top w:val="nil"/>
              <w:left w:val="nil"/>
              <w:bottom w:val="nil"/>
              <w:right w:val="nil"/>
            </w:tcBorders>
            <w:shd w:val="clear" w:color="auto" w:fill="auto"/>
            <w:noWrap/>
            <w:vAlign w:val="bottom"/>
            <w:hideMark/>
          </w:tcPr>
          <w:p w14:paraId="323F81AB" w14:textId="77777777" w:rsidR="00543335" w:rsidRDefault="00543335" w:rsidP="004D2E48">
            <w:pPr>
              <w:rPr>
                <w:sz w:val="20"/>
                <w:szCs w:val="20"/>
              </w:rPr>
            </w:pPr>
          </w:p>
        </w:tc>
      </w:tr>
      <w:tr w:rsidR="00543335" w14:paraId="6E29E58C" w14:textId="77777777" w:rsidTr="004D2E48">
        <w:trPr>
          <w:trHeight w:val="300"/>
        </w:trPr>
        <w:tc>
          <w:tcPr>
            <w:tcW w:w="3640" w:type="dxa"/>
            <w:tcBorders>
              <w:top w:val="nil"/>
              <w:left w:val="nil"/>
              <w:bottom w:val="nil"/>
              <w:right w:val="nil"/>
            </w:tcBorders>
            <w:shd w:val="clear" w:color="auto" w:fill="auto"/>
            <w:noWrap/>
            <w:vAlign w:val="center"/>
            <w:hideMark/>
          </w:tcPr>
          <w:p w14:paraId="3F0D9D26" w14:textId="77777777" w:rsidR="00543335" w:rsidRDefault="00543335" w:rsidP="004D2E48">
            <w:pPr>
              <w:rPr>
                <w:sz w:val="20"/>
                <w:szCs w:val="20"/>
              </w:rPr>
            </w:pPr>
          </w:p>
        </w:tc>
        <w:tc>
          <w:tcPr>
            <w:tcW w:w="1501" w:type="dxa"/>
            <w:tcBorders>
              <w:top w:val="nil"/>
              <w:left w:val="nil"/>
              <w:bottom w:val="nil"/>
              <w:right w:val="nil"/>
            </w:tcBorders>
            <w:shd w:val="clear" w:color="auto" w:fill="auto"/>
            <w:noWrap/>
            <w:vAlign w:val="bottom"/>
            <w:hideMark/>
          </w:tcPr>
          <w:p w14:paraId="085292B3" w14:textId="77777777" w:rsidR="00543335" w:rsidRDefault="00543335" w:rsidP="004D2E48">
            <w:pPr>
              <w:rPr>
                <w:sz w:val="20"/>
                <w:szCs w:val="20"/>
              </w:rPr>
            </w:pPr>
          </w:p>
        </w:tc>
        <w:tc>
          <w:tcPr>
            <w:tcW w:w="839" w:type="dxa"/>
            <w:tcBorders>
              <w:top w:val="nil"/>
              <w:left w:val="nil"/>
              <w:bottom w:val="nil"/>
              <w:right w:val="nil"/>
            </w:tcBorders>
            <w:shd w:val="clear" w:color="auto" w:fill="auto"/>
            <w:noWrap/>
            <w:vAlign w:val="bottom"/>
            <w:hideMark/>
          </w:tcPr>
          <w:p w14:paraId="62D292F9" w14:textId="77777777" w:rsidR="00543335" w:rsidRDefault="00543335" w:rsidP="004D2E48">
            <w:pPr>
              <w:rPr>
                <w:sz w:val="20"/>
                <w:szCs w:val="20"/>
              </w:rPr>
            </w:pPr>
          </w:p>
        </w:tc>
        <w:tc>
          <w:tcPr>
            <w:tcW w:w="1391" w:type="dxa"/>
            <w:tcBorders>
              <w:top w:val="nil"/>
              <w:left w:val="nil"/>
              <w:bottom w:val="nil"/>
              <w:right w:val="nil"/>
            </w:tcBorders>
            <w:shd w:val="clear" w:color="auto" w:fill="auto"/>
            <w:noWrap/>
            <w:vAlign w:val="bottom"/>
            <w:hideMark/>
          </w:tcPr>
          <w:p w14:paraId="435D5244" w14:textId="77777777" w:rsidR="00543335" w:rsidRDefault="00543335" w:rsidP="004D2E48">
            <w:pPr>
              <w:rPr>
                <w:sz w:val="20"/>
                <w:szCs w:val="20"/>
              </w:rPr>
            </w:pPr>
          </w:p>
        </w:tc>
      </w:tr>
      <w:tr w:rsidR="00543335" w14:paraId="099F71A8" w14:textId="77777777" w:rsidTr="004D2E48">
        <w:trPr>
          <w:trHeight w:val="300"/>
        </w:trPr>
        <w:tc>
          <w:tcPr>
            <w:tcW w:w="3640" w:type="dxa"/>
            <w:tcBorders>
              <w:top w:val="nil"/>
              <w:left w:val="nil"/>
              <w:bottom w:val="nil"/>
              <w:right w:val="nil"/>
            </w:tcBorders>
            <w:shd w:val="clear" w:color="auto" w:fill="auto"/>
            <w:noWrap/>
            <w:vAlign w:val="center"/>
            <w:hideMark/>
          </w:tcPr>
          <w:p w14:paraId="58582CCF" w14:textId="77777777" w:rsidR="00543335" w:rsidRDefault="00543335" w:rsidP="004D2E48">
            <w:pPr>
              <w:rPr>
                <w:rFonts w:ascii="Arial" w:hAnsi="Arial" w:cs="Arial"/>
                <w:color w:val="000000"/>
                <w:sz w:val="20"/>
                <w:szCs w:val="20"/>
              </w:rPr>
            </w:pPr>
            <w:r>
              <w:rPr>
                <w:rFonts w:ascii="Arial" w:hAnsi="Arial" w:cs="Arial"/>
                <w:color w:val="000000"/>
                <w:sz w:val="20"/>
                <w:szCs w:val="20"/>
              </w:rPr>
              <w:t xml:space="preserve">Position </w:t>
            </w:r>
            <w:proofErr w:type="gramStart"/>
            <w:r>
              <w:rPr>
                <w:rFonts w:ascii="Arial" w:hAnsi="Arial" w:cs="Arial"/>
                <w:color w:val="000000"/>
                <w:sz w:val="20"/>
                <w:szCs w:val="20"/>
              </w:rPr>
              <w:t>at</w:t>
            </w:r>
            <w:proofErr w:type="gramEnd"/>
            <w:r>
              <w:rPr>
                <w:rFonts w:ascii="Arial" w:hAnsi="Arial" w:cs="Arial"/>
                <w:color w:val="000000"/>
                <w:sz w:val="20"/>
                <w:szCs w:val="20"/>
              </w:rPr>
              <w:t xml:space="preserve"> 31 March 2021</w:t>
            </w:r>
          </w:p>
        </w:tc>
        <w:tc>
          <w:tcPr>
            <w:tcW w:w="1501" w:type="dxa"/>
            <w:tcBorders>
              <w:top w:val="nil"/>
              <w:left w:val="nil"/>
              <w:bottom w:val="nil"/>
              <w:right w:val="nil"/>
            </w:tcBorders>
            <w:shd w:val="clear" w:color="auto" w:fill="auto"/>
            <w:noWrap/>
            <w:vAlign w:val="bottom"/>
            <w:hideMark/>
          </w:tcPr>
          <w:p w14:paraId="49BBF244" w14:textId="77777777" w:rsidR="00543335" w:rsidRDefault="00543335" w:rsidP="004D2E48">
            <w:pPr>
              <w:rPr>
                <w:rFonts w:ascii="Arial" w:hAnsi="Arial" w:cs="Arial"/>
                <w:color w:val="000000"/>
                <w:sz w:val="20"/>
                <w:szCs w:val="20"/>
              </w:rPr>
            </w:pPr>
          </w:p>
        </w:tc>
        <w:tc>
          <w:tcPr>
            <w:tcW w:w="839" w:type="dxa"/>
            <w:tcBorders>
              <w:top w:val="nil"/>
              <w:left w:val="nil"/>
              <w:bottom w:val="nil"/>
              <w:right w:val="nil"/>
            </w:tcBorders>
            <w:shd w:val="clear" w:color="auto" w:fill="auto"/>
            <w:noWrap/>
            <w:vAlign w:val="bottom"/>
            <w:hideMark/>
          </w:tcPr>
          <w:p w14:paraId="4A49F837" w14:textId="77777777" w:rsidR="00543335" w:rsidRDefault="00543335" w:rsidP="004D2E48">
            <w:pPr>
              <w:rPr>
                <w:sz w:val="20"/>
                <w:szCs w:val="20"/>
              </w:rPr>
            </w:pPr>
          </w:p>
        </w:tc>
        <w:tc>
          <w:tcPr>
            <w:tcW w:w="1391" w:type="dxa"/>
            <w:tcBorders>
              <w:top w:val="nil"/>
              <w:left w:val="nil"/>
              <w:bottom w:val="nil"/>
              <w:right w:val="nil"/>
            </w:tcBorders>
            <w:shd w:val="clear" w:color="auto" w:fill="auto"/>
            <w:noWrap/>
            <w:vAlign w:val="bottom"/>
            <w:hideMark/>
          </w:tcPr>
          <w:p w14:paraId="12C423D6" w14:textId="77777777" w:rsidR="00543335" w:rsidRDefault="00543335" w:rsidP="004D2E48">
            <w:pPr>
              <w:rPr>
                <w:sz w:val="20"/>
                <w:szCs w:val="20"/>
              </w:rPr>
            </w:pPr>
          </w:p>
        </w:tc>
      </w:tr>
      <w:tr w:rsidR="00543335" w14:paraId="2AF83B0B" w14:textId="77777777" w:rsidTr="004D2E48">
        <w:trPr>
          <w:trHeight w:val="300"/>
        </w:trPr>
        <w:tc>
          <w:tcPr>
            <w:tcW w:w="3640" w:type="dxa"/>
            <w:tcBorders>
              <w:top w:val="nil"/>
              <w:left w:val="nil"/>
              <w:bottom w:val="nil"/>
              <w:right w:val="nil"/>
            </w:tcBorders>
            <w:shd w:val="clear" w:color="auto" w:fill="auto"/>
            <w:noWrap/>
            <w:vAlign w:val="center"/>
            <w:hideMark/>
          </w:tcPr>
          <w:p w14:paraId="44D7F440" w14:textId="77777777" w:rsidR="00543335" w:rsidRDefault="00543335" w:rsidP="004D2E48">
            <w:pPr>
              <w:rPr>
                <w:sz w:val="20"/>
                <w:szCs w:val="20"/>
              </w:rPr>
            </w:pPr>
          </w:p>
        </w:tc>
        <w:tc>
          <w:tcPr>
            <w:tcW w:w="1501" w:type="dxa"/>
            <w:tcBorders>
              <w:top w:val="nil"/>
              <w:left w:val="nil"/>
              <w:bottom w:val="nil"/>
              <w:right w:val="nil"/>
            </w:tcBorders>
            <w:shd w:val="clear" w:color="auto" w:fill="auto"/>
            <w:noWrap/>
            <w:vAlign w:val="bottom"/>
            <w:hideMark/>
          </w:tcPr>
          <w:p w14:paraId="2BC21A43" w14:textId="77777777" w:rsidR="00543335" w:rsidRDefault="00543335" w:rsidP="004D2E48">
            <w:pPr>
              <w:rPr>
                <w:sz w:val="20"/>
                <w:szCs w:val="20"/>
              </w:rPr>
            </w:pPr>
          </w:p>
        </w:tc>
        <w:tc>
          <w:tcPr>
            <w:tcW w:w="839" w:type="dxa"/>
            <w:tcBorders>
              <w:top w:val="nil"/>
              <w:left w:val="nil"/>
              <w:bottom w:val="nil"/>
              <w:right w:val="nil"/>
            </w:tcBorders>
            <w:shd w:val="clear" w:color="auto" w:fill="auto"/>
            <w:noWrap/>
            <w:vAlign w:val="bottom"/>
            <w:hideMark/>
          </w:tcPr>
          <w:p w14:paraId="50763C1A" w14:textId="77777777" w:rsidR="00543335" w:rsidRDefault="00543335" w:rsidP="004D2E48">
            <w:pPr>
              <w:rPr>
                <w:sz w:val="20"/>
                <w:szCs w:val="20"/>
              </w:rPr>
            </w:pPr>
          </w:p>
        </w:tc>
        <w:tc>
          <w:tcPr>
            <w:tcW w:w="1391" w:type="dxa"/>
            <w:tcBorders>
              <w:top w:val="nil"/>
              <w:left w:val="nil"/>
              <w:bottom w:val="nil"/>
              <w:right w:val="nil"/>
            </w:tcBorders>
            <w:shd w:val="clear" w:color="auto" w:fill="auto"/>
            <w:noWrap/>
            <w:vAlign w:val="bottom"/>
            <w:hideMark/>
          </w:tcPr>
          <w:p w14:paraId="62ECA163" w14:textId="77777777" w:rsidR="00543335" w:rsidRDefault="00543335" w:rsidP="004D2E48">
            <w:pPr>
              <w:rPr>
                <w:sz w:val="20"/>
                <w:szCs w:val="20"/>
              </w:rPr>
            </w:pPr>
          </w:p>
        </w:tc>
      </w:tr>
      <w:tr w:rsidR="00543335" w14:paraId="63EE5FF0" w14:textId="77777777" w:rsidTr="004D2E48">
        <w:trPr>
          <w:trHeight w:val="300"/>
        </w:trPr>
        <w:tc>
          <w:tcPr>
            <w:tcW w:w="3640" w:type="dxa"/>
            <w:tcBorders>
              <w:top w:val="nil"/>
              <w:left w:val="nil"/>
              <w:bottom w:val="nil"/>
              <w:right w:val="nil"/>
            </w:tcBorders>
            <w:shd w:val="clear" w:color="auto" w:fill="auto"/>
            <w:noWrap/>
            <w:vAlign w:val="center"/>
            <w:hideMark/>
          </w:tcPr>
          <w:p w14:paraId="0FFDD3F0" w14:textId="77777777" w:rsidR="00543335" w:rsidRDefault="00543335" w:rsidP="004D2E48">
            <w:pPr>
              <w:rPr>
                <w:rFonts w:ascii="Arial" w:hAnsi="Arial" w:cs="Arial"/>
                <w:b/>
                <w:bCs/>
                <w:color w:val="000000"/>
                <w:sz w:val="20"/>
                <w:szCs w:val="20"/>
              </w:rPr>
            </w:pPr>
            <w:r>
              <w:rPr>
                <w:rFonts w:ascii="Arial" w:hAnsi="Arial" w:cs="Arial"/>
                <w:b/>
                <w:bCs/>
                <w:color w:val="000000"/>
                <w:sz w:val="20"/>
                <w:szCs w:val="20"/>
              </w:rPr>
              <w:t>Capital</w:t>
            </w:r>
          </w:p>
        </w:tc>
        <w:tc>
          <w:tcPr>
            <w:tcW w:w="1501" w:type="dxa"/>
            <w:tcBorders>
              <w:top w:val="nil"/>
              <w:left w:val="nil"/>
              <w:bottom w:val="nil"/>
              <w:right w:val="nil"/>
            </w:tcBorders>
            <w:shd w:val="clear" w:color="auto" w:fill="auto"/>
            <w:noWrap/>
            <w:vAlign w:val="center"/>
            <w:hideMark/>
          </w:tcPr>
          <w:p w14:paraId="17B867D8" w14:textId="77777777" w:rsidR="00543335" w:rsidRDefault="00543335" w:rsidP="004D2E48">
            <w:pPr>
              <w:rPr>
                <w:rFonts w:ascii="Arial" w:hAnsi="Arial" w:cs="Arial"/>
                <w:b/>
                <w:bCs/>
                <w:color w:val="000000"/>
                <w:sz w:val="20"/>
                <w:szCs w:val="20"/>
              </w:rPr>
            </w:pPr>
          </w:p>
        </w:tc>
        <w:tc>
          <w:tcPr>
            <w:tcW w:w="839" w:type="dxa"/>
            <w:tcBorders>
              <w:top w:val="nil"/>
              <w:left w:val="nil"/>
              <w:bottom w:val="nil"/>
              <w:right w:val="nil"/>
            </w:tcBorders>
            <w:shd w:val="clear" w:color="auto" w:fill="auto"/>
            <w:noWrap/>
            <w:vAlign w:val="center"/>
            <w:hideMark/>
          </w:tcPr>
          <w:p w14:paraId="18749227" w14:textId="77777777" w:rsidR="00543335" w:rsidRDefault="00543335" w:rsidP="004D2E48">
            <w:pPr>
              <w:rPr>
                <w:sz w:val="20"/>
                <w:szCs w:val="20"/>
              </w:rPr>
            </w:pPr>
          </w:p>
        </w:tc>
        <w:tc>
          <w:tcPr>
            <w:tcW w:w="1391" w:type="dxa"/>
            <w:tcBorders>
              <w:top w:val="nil"/>
              <w:left w:val="nil"/>
              <w:bottom w:val="nil"/>
              <w:right w:val="nil"/>
            </w:tcBorders>
            <w:shd w:val="clear" w:color="auto" w:fill="auto"/>
            <w:noWrap/>
            <w:vAlign w:val="center"/>
            <w:hideMark/>
          </w:tcPr>
          <w:p w14:paraId="4B179CFD" w14:textId="77777777" w:rsidR="00543335" w:rsidRDefault="00543335" w:rsidP="004D2E48">
            <w:pPr>
              <w:rPr>
                <w:sz w:val="20"/>
                <w:szCs w:val="20"/>
              </w:rPr>
            </w:pPr>
          </w:p>
        </w:tc>
      </w:tr>
      <w:tr w:rsidR="00543335" w14:paraId="03614480" w14:textId="77777777" w:rsidTr="004D2E48">
        <w:trPr>
          <w:trHeight w:val="300"/>
        </w:trPr>
        <w:tc>
          <w:tcPr>
            <w:tcW w:w="3640" w:type="dxa"/>
            <w:tcBorders>
              <w:top w:val="nil"/>
              <w:left w:val="nil"/>
              <w:bottom w:val="nil"/>
              <w:right w:val="nil"/>
            </w:tcBorders>
            <w:shd w:val="clear" w:color="auto" w:fill="auto"/>
            <w:noWrap/>
            <w:vAlign w:val="center"/>
            <w:hideMark/>
          </w:tcPr>
          <w:p w14:paraId="4AE365B6" w14:textId="77777777" w:rsidR="00543335" w:rsidRDefault="00543335" w:rsidP="004D2E48">
            <w:pPr>
              <w:rPr>
                <w:sz w:val="20"/>
                <w:szCs w:val="20"/>
              </w:rPr>
            </w:pPr>
          </w:p>
        </w:tc>
        <w:tc>
          <w:tcPr>
            <w:tcW w:w="1501" w:type="dxa"/>
            <w:tcBorders>
              <w:top w:val="nil"/>
              <w:left w:val="nil"/>
              <w:bottom w:val="nil"/>
              <w:right w:val="nil"/>
            </w:tcBorders>
            <w:shd w:val="clear" w:color="auto" w:fill="auto"/>
            <w:noWrap/>
            <w:vAlign w:val="center"/>
            <w:hideMark/>
          </w:tcPr>
          <w:p w14:paraId="10C1C3B2" w14:textId="77777777" w:rsidR="00543335" w:rsidRDefault="00543335" w:rsidP="004D2E48">
            <w:pPr>
              <w:rPr>
                <w:sz w:val="20"/>
                <w:szCs w:val="20"/>
              </w:rPr>
            </w:pPr>
          </w:p>
        </w:tc>
        <w:tc>
          <w:tcPr>
            <w:tcW w:w="839" w:type="dxa"/>
            <w:tcBorders>
              <w:top w:val="nil"/>
              <w:left w:val="nil"/>
              <w:bottom w:val="nil"/>
              <w:right w:val="nil"/>
            </w:tcBorders>
            <w:shd w:val="clear" w:color="auto" w:fill="auto"/>
            <w:noWrap/>
            <w:vAlign w:val="center"/>
            <w:hideMark/>
          </w:tcPr>
          <w:p w14:paraId="747D4F90" w14:textId="77777777" w:rsidR="00543335" w:rsidRDefault="00543335" w:rsidP="004D2E48">
            <w:pPr>
              <w:rPr>
                <w:sz w:val="20"/>
                <w:szCs w:val="20"/>
              </w:rPr>
            </w:pPr>
          </w:p>
        </w:tc>
        <w:tc>
          <w:tcPr>
            <w:tcW w:w="1391" w:type="dxa"/>
            <w:tcBorders>
              <w:top w:val="nil"/>
              <w:left w:val="nil"/>
              <w:bottom w:val="nil"/>
              <w:right w:val="nil"/>
            </w:tcBorders>
            <w:shd w:val="clear" w:color="auto" w:fill="auto"/>
            <w:noWrap/>
            <w:vAlign w:val="center"/>
            <w:hideMark/>
          </w:tcPr>
          <w:p w14:paraId="06624798" w14:textId="77777777" w:rsidR="00543335" w:rsidRDefault="00543335" w:rsidP="004D2E48">
            <w:pPr>
              <w:rPr>
                <w:sz w:val="20"/>
                <w:szCs w:val="20"/>
              </w:rPr>
            </w:pPr>
          </w:p>
        </w:tc>
      </w:tr>
      <w:tr w:rsidR="00543335" w14:paraId="7830045D" w14:textId="77777777" w:rsidTr="004D2E48">
        <w:trPr>
          <w:trHeight w:val="300"/>
        </w:trPr>
        <w:tc>
          <w:tcPr>
            <w:tcW w:w="3640" w:type="dxa"/>
            <w:tcBorders>
              <w:top w:val="nil"/>
              <w:left w:val="nil"/>
              <w:bottom w:val="nil"/>
              <w:right w:val="nil"/>
            </w:tcBorders>
            <w:shd w:val="clear" w:color="auto" w:fill="auto"/>
            <w:noWrap/>
            <w:vAlign w:val="center"/>
            <w:hideMark/>
          </w:tcPr>
          <w:p w14:paraId="458D9168" w14:textId="77777777" w:rsidR="00543335" w:rsidRDefault="00543335" w:rsidP="004D2E48">
            <w:pPr>
              <w:rPr>
                <w:rFonts w:ascii="Arial" w:hAnsi="Arial" w:cs="Arial"/>
                <w:color w:val="000000"/>
                <w:sz w:val="20"/>
                <w:szCs w:val="20"/>
              </w:rPr>
            </w:pPr>
            <w:r>
              <w:rPr>
                <w:rFonts w:ascii="Arial" w:hAnsi="Arial" w:cs="Arial"/>
                <w:color w:val="000000"/>
                <w:sz w:val="20"/>
                <w:szCs w:val="20"/>
              </w:rPr>
              <w:t>Gross capital</w:t>
            </w:r>
          </w:p>
        </w:tc>
        <w:tc>
          <w:tcPr>
            <w:tcW w:w="1501" w:type="dxa"/>
            <w:tcBorders>
              <w:top w:val="nil"/>
              <w:left w:val="nil"/>
              <w:bottom w:val="nil"/>
              <w:right w:val="nil"/>
            </w:tcBorders>
            <w:shd w:val="clear" w:color="auto" w:fill="auto"/>
            <w:noWrap/>
            <w:vAlign w:val="center"/>
            <w:hideMark/>
          </w:tcPr>
          <w:p w14:paraId="63101161"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6,056,124</w:t>
            </w:r>
          </w:p>
        </w:tc>
        <w:tc>
          <w:tcPr>
            <w:tcW w:w="839" w:type="dxa"/>
            <w:tcBorders>
              <w:top w:val="nil"/>
              <w:left w:val="nil"/>
              <w:bottom w:val="nil"/>
              <w:right w:val="nil"/>
            </w:tcBorders>
            <w:shd w:val="clear" w:color="auto" w:fill="auto"/>
            <w:noWrap/>
            <w:vAlign w:val="center"/>
            <w:hideMark/>
          </w:tcPr>
          <w:p w14:paraId="7A77A4D4" w14:textId="77777777" w:rsidR="00543335" w:rsidRDefault="00543335" w:rsidP="004D2E48">
            <w:pPr>
              <w:jc w:val="right"/>
              <w:rPr>
                <w:rFonts w:ascii="Arial" w:hAnsi="Arial" w:cs="Arial"/>
                <w:color w:val="000000"/>
                <w:sz w:val="20"/>
                <w:szCs w:val="20"/>
              </w:rPr>
            </w:pPr>
          </w:p>
        </w:tc>
        <w:tc>
          <w:tcPr>
            <w:tcW w:w="1391" w:type="dxa"/>
            <w:tcBorders>
              <w:top w:val="nil"/>
              <w:left w:val="nil"/>
              <w:bottom w:val="nil"/>
              <w:right w:val="nil"/>
            </w:tcBorders>
            <w:shd w:val="clear" w:color="auto" w:fill="auto"/>
            <w:noWrap/>
            <w:vAlign w:val="center"/>
            <w:hideMark/>
          </w:tcPr>
          <w:p w14:paraId="5AFB5D1D" w14:textId="77777777" w:rsidR="00543335" w:rsidRDefault="00543335" w:rsidP="004D2E48">
            <w:pPr>
              <w:rPr>
                <w:sz w:val="20"/>
                <w:szCs w:val="20"/>
              </w:rPr>
            </w:pPr>
          </w:p>
        </w:tc>
      </w:tr>
      <w:tr w:rsidR="00543335" w14:paraId="102A2A10" w14:textId="77777777" w:rsidTr="004D2E48">
        <w:trPr>
          <w:trHeight w:val="315"/>
        </w:trPr>
        <w:tc>
          <w:tcPr>
            <w:tcW w:w="3640" w:type="dxa"/>
            <w:tcBorders>
              <w:top w:val="nil"/>
              <w:left w:val="nil"/>
              <w:bottom w:val="nil"/>
              <w:right w:val="nil"/>
            </w:tcBorders>
            <w:shd w:val="clear" w:color="auto" w:fill="auto"/>
            <w:noWrap/>
            <w:vAlign w:val="center"/>
            <w:hideMark/>
          </w:tcPr>
          <w:p w14:paraId="65245407" w14:textId="77777777" w:rsidR="00543335" w:rsidRDefault="00543335" w:rsidP="004D2E48">
            <w:pPr>
              <w:rPr>
                <w:rFonts w:ascii="Arial" w:hAnsi="Arial" w:cs="Arial"/>
                <w:color w:val="000000"/>
                <w:sz w:val="20"/>
                <w:szCs w:val="20"/>
              </w:rPr>
            </w:pPr>
            <w:r>
              <w:rPr>
                <w:rFonts w:ascii="Arial" w:hAnsi="Arial" w:cs="Arial"/>
                <w:color w:val="000000"/>
                <w:sz w:val="20"/>
                <w:szCs w:val="20"/>
              </w:rPr>
              <w:t>Less deductions</w:t>
            </w:r>
          </w:p>
        </w:tc>
        <w:tc>
          <w:tcPr>
            <w:tcW w:w="1501" w:type="dxa"/>
            <w:tcBorders>
              <w:top w:val="nil"/>
              <w:left w:val="nil"/>
              <w:bottom w:val="single" w:sz="8" w:space="0" w:color="auto"/>
              <w:right w:val="nil"/>
            </w:tcBorders>
            <w:shd w:val="clear" w:color="auto" w:fill="auto"/>
            <w:noWrap/>
            <w:vAlign w:val="center"/>
            <w:hideMark/>
          </w:tcPr>
          <w:p w14:paraId="3DB86E47"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63,808</w:t>
            </w:r>
          </w:p>
        </w:tc>
        <w:tc>
          <w:tcPr>
            <w:tcW w:w="839" w:type="dxa"/>
            <w:tcBorders>
              <w:top w:val="nil"/>
              <w:left w:val="nil"/>
              <w:bottom w:val="nil"/>
              <w:right w:val="nil"/>
            </w:tcBorders>
            <w:shd w:val="clear" w:color="auto" w:fill="auto"/>
            <w:noWrap/>
            <w:vAlign w:val="center"/>
            <w:hideMark/>
          </w:tcPr>
          <w:p w14:paraId="676B7C8C" w14:textId="77777777" w:rsidR="00543335" w:rsidRDefault="00543335" w:rsidP="004D2E48">
            <w:pPr>
              <w:jc w:val="right"/>
              <w:rPr>
                <w:rFonts w:ascii="Arial" w:hAnsi="Arial" w:cs="Arial"/>
                <w:color w:val="000000"/>
                <w:sz w:val="20"/>
                <w:szCs w:val="20"/>
              </w:rPr>
            </w:pPr>
          </w:p>
        </w:tc>
        <w:tc>
          <w:tcPr>
            <w:tcW w:w="1391" w:type="dxa"/>
            <w:tcBorders>
              <w:top w:val="nil"/>
              <w:left w:val="nil"/>
              <w:bottom w:val="nil"/>
              <w:right w:val="nil"/>
            </w:tcBorders>
            <w:shd w:val="clear" w:color="auto" w:fill="auto"/>
            <w:noWrap/>
            <w:vAlign w:val="center"/>
            <w:hideMark/>
          </w:tcPr>
          <w:p w14:paraId="2195F023" w14:textId="77777777" w:rsidR="00543335" w:rsidRDefault="00543335" w:rsidP="004D2E48">
            <w:pPr>
              <w:rPr>
                <w:sz w:val="20"/>
                <w:szCs w:val="20"/>
              </w:rPr>
            </w:pPr>
          </w:p>
        </w:tc>
      </w:tr>
      <w:tr w:rsidR="00543335" w14:paraId="25B9098C" w14:textId="77777777" w:rsidTr="004D2E48">
        <w:trPr>
          <w:trHeight w:val="300"/>
        </w:trPr>
        <w:tc>
          <w:tcPr>
            <w:tcW w:w="3640" w:type="dxa"/>
            <w:tcBorders>
              <w:top w:val="nil"/>
              <w:left w:val="nil"/>
              <w:bottom w:val="nil"/>
              <w:right w:val="nil"/>
            </w:tcBorders>
            <w:shd w:val="clear" w:color="auto" w:fill="auto"/>
            <w:noWrap/>
            <w:vAlign w:val="center"/>
            <w:hideMark/>
          </w:tcPr>
          <w:p w14:paraId="3C9C55E5" w14:textId="77777777" w:rsidR="00543335" w:rsidRDefault="00543335" w:rsidP="004D2E48">
            <w:pPr>
              <w:rPr>
                <w:rFonts w:ascii="Arial" w:hAnsi="Arial" w:cs="Arial"/>
                <w:color w:val="000000"/>
                <w:sz w:val="20"/>
                <w:szCs w:val="20"/>
              </w:rPr>
            </w:pPr>
            <w:r>
              <w:rPr>
                <w:rFonts w:ascii="Arial" w:hAnsi="Arial" w:cs="Arial"/>
                <w:color w:val="000000"/>
                <w:sz w:val="20"/>
                <w:szCs w:val="20"/>
              </w:rPr>
              <w:t>Total capital</w:t>
            </w:r>
          </w:p>
        </w:tc>
        <w:tc>
          <w:tcPr>
            <w:tcW w:w="1501" w:type="dxa"/>
            <w:tcBorders>
              <w:top w:val="nil"/>
              <w:left w:val="nil"/>
              <w:bottom w:val="nil"/>
              <w:right w:val="nil"/>
            </w:tcBorders>
            <w:shd w:val="clear" w:color="auto" w:fill="auto"/>
            <w:noWrap/>
            <w:vAlign w:val="center"/>
            <w:hideMark/>
          </w:tcPr>
          <w:p w14:paraId="549800DD"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5,992,316</w:t>
            </w:r>
          </w:p>
        </w:tc>
        <w:tc>
          <w:tcPr>
            <w:tcW w:w="839" w:type="dxa"/>
            <w:tcBorders>
              <w:top w:val="nil"/>
              <w:left w:val="nil"/>
              <w:bottom w:val="nil"/>
              <w:right w:val="nil"/>
            </w:tcBorders>
            <w:shd w:val="clear" w:color="auto" w:fill="auto"/>
            <w:noWrap/>
            <w:vAlign w:val="center"/>
            <w:hideMark/>
          </w:tcPr>
          <w:p w14:paraId="666613D8" w14:textId="77777777" w:rsidR="00543335" w:rsidRDefault="00543335" w:rsidP="004D2E48">
            <w:pPr>
              <w:jc w:val="right"/>
              <w:rPr>
                <w:rFonts w:ascii="Arial" w:hAnsi="Arial" w:cs="Arial"/>
                <w:color w:val="000000"/>
                <w:sz w:val="20"/>
                <w:szCs w:val="20"/>
              </w:rPr>
            </w:pPr>
          </w:p>
        </w:tc>
        <w:tc>
          <w:tcPr>
            <w:tcW w:w="1391" w:type="dxa"/>
            <w:tcBorders>
              <w:top w:val="nil"/>
              <w:left w:val="nil"/>
              <w:bottom w:val="nil"/>
              <w:right w:val="nil"/>
            </w:tcBorders>
            <w:shd w:val="clear" w:color="auto" w:fill="auto"/>
            <w:noWrap/>
            <w:vAlign w:val="center"/>
            <w:hideMark/>
          </w:tcPr>
          <w:p w14:paraId="75144571" w14:textId="77777777" w:rsidR="00543335" w:rsidRDefault="00543335" w:rsidP="004D2E48">
            <w:pPr>
              <w:rPr>
                <w:sz w:val="20"/>
                <w:szCs w:val="20"/>
              </w:rPr>
            </w:pPr>
          </w:p>
        </w:tc>
      </w:tr>
      <w:tr w:rsidR="00543335" w14:paraId="6B282CF2" w14:textId="77777777" w:rsidTr="004D2E48">
        <w:trPr>
          <w:trHeight w:val="300"/>
        </w:trPr>
        <w:tc>
          <w:tcPr>
            <w:tcW w:w="3640" w:type="dxa"/>
            <w:tcBorders>
              <w:top w:val="nil"/>
              <w:left w:val="nil"/>
              <w:bottom w:val="nil"/>
              <w:right w:val="nil"/>
            </w:tcBorders>
            <w:shd w:val="clear" w:color="auto" w:fill="auto"/>
            <w:noWrap/>
            <w:vAlign w:val="center"/>
            <w:hideMark/>
          </w:tcPr>
          <w:p w14:paraId="46AFFF53" w14:textId="77777777" w:rsidR="00543335" w:rsidRDefault="00543335" w:rsidP="004D2E48">
            <w:pPr>
              <w:rPr>
                <w:sz w:val="20"/>
                <w:szCs w:val="20"/>
              </w:rPr>
            </w:pPr>
          </w:p>
        </w:tc>
        <w:tc>
          <w:tcPr>
            <w:tcW w:w="1501" w:type="dxa"/>
            <w:tcBorders>
              <w:top w:val="nil"/>
              <w:left w:val="nil"/>
              <w:bottom w:val="nil"/>
              <w:right w:val="nil"/>
            </w:tcBorders>
            <w:shd w:val="clear" w:color="auto" w:fill="auto"/>
            <w:noWrap/>
            <w:vAlign w:val="center"/>
            <w:hideMark/>
          </w:tcPr>
          <w:p w14:paraId="68E2E738" w14:textId="77777777" w:rsidR="00543335" w:rsidRDefault="00543335" w:rsidP="004D2E48">
            <w:pPr>
              <w:rPr>
                <w:sz w:val="20"/>
                <w:szCs w:val="20"/>
              </w:rPr>
            </w:pPr>
          </w:p>
        </w:tc>
        <w:tc>
          <w:tcPr>
            <w:tcW w:w="839" w:type="dxa"/>
            <w:tcBorders>
              <w:top w:val="nil"/>
              <w:left w:val="nil"/>
              <w:bottom w:val="nil"/>
              <w:right w:val="nil"/>
            </w:tcBorders>
            <w:shd w:val="clear" w:color="auto" w:fill="auto"/>
            <w:noWrap/>
            <w:vAlign w:val="center"/>
            <w:hideMark/>
          </w:tcPr>
          <w:p w14:paraId="63CD47E7" w14:textId="77777777" w:rsidR="00543335" w:rsidRDefault="00543335" w:rsidP="004D2E48">
            <w:pPr>
              <w:rPr>
                <w:sz w:val="20"/>
                <w:szCs w:val="20"/>
              </w:rPr>
            </w:pPr>
          </w:p>
        </w:tc>
        <w:tc>
          <w:tcPr>
            <w:tcW w:w="1391" w:type="dxa"/>
            <w:tcBorders>
              <w:top w:val="nil"/>
              <w:left w:val="nil"/>
              <w:bottom w:val="nil"/>
              <w:right w:val="nil"/>
            </w:tcBorders>
            <w:shd w:val="clear" w:color="auto" w:fill="auto"/>
            <w:noWrap/>
            <w:vAlign w:val="center"/>
            <w:hideMark/>
          </w:tcPr>
          <w:p w14:paraId="554C4CB9" w14:textId="77777777" w:rsidR="00543335" w:rsidRDefault="00543335" w:rsidP="004D2E48">
            <w:pPr>
              <w:rPr>
                <w:sz w:val="20"/>
                <w:szCs w:val="20"/>
              </w:rPr>
            </w:pPr>
          </w:p>
        </w:tc>
      </w:tr>
      <w:tr w:rsidR="00543335" w14:paraId="23F40C08" w14:textId="77777777" w:rsidTr="004D2E48">
        <w:trPr>
          <w:trHeight w:val="300"/>
        </w:trPr>
        <w:tc>
          <w:tcPr>
            <w:tcW w:w="3640" w:type="dxa"/>
            <w:tcBorders>
              <w:top w:val="nil"/>
              <w:left w:val="nil"/>
              <w:bottom w:val="nil"/>
              <w:right w:val="nil"/>
            </w:tcBorders>
            <w:shd w:val="clear" w:color="auto" w:fill="auto"/>
            <w:noWrap/>
            <w:vAlign w:val="center"/>
            <w:hideMark/>
          </w:tcPr>
          <w:p w14:paraId="7F5134A6" w14:textId="77777777" w:rsidR="00543335" w:rsidRDefault="00543335" w:rsidP="004D2E48">
            <w:pPr>
              <w:rPr>
                <w:sz w:val="20"/>
                <w:szCs w:val="20"/>
              </w:rPr>
            </w:pPr>
          </w:p>
        </w:tc>
        <w:tc>
          <w:tcPr>
            <w:tcW w:w="1501" w:type="dxa"/>
            <w:tcBorders>
              <w:top w:val="nil"/>
              <w:left w:val="nil"/>
              <w:bottom w:val="nil"/>
              <w:right w:val="nil"/>
            </w:tcBorders>
            <w:shd w:val="clear" w:color="auto" w:fill="auto"/>
            <w:noWrap/>
            <w:vAlign w:val="center"/>
            <w:hideMark/>
          </w:tcPr>
          <w:p w14:paraId="695DC481" w14:textId="77777777" w:rsidR="00543335" w:rsidRDefault="00543335" w:rsidP="004D2E48">
            <w:pPr>
              <w:rPr>
                <w:sz w:val="20"/>
                <w:szCs w:val="20"/>
              </w:rPr>
            </w:pPr>
          </w:p>
        </w:tc>
        <w:tc>
          <w:tcPr>
            <w:tcW w:w="839" w:type="dxa"/>
            <w:tcBorders>
              <w:top w:val="nil"/>
              <w:left w:val="nil"/>
              <w:bottom w:val="nil"/>
              <w:right w:val="nil"/>
            </w:tcBorders>
            <w:shd w:val="clear" w:color="auto" w:fill="auto"/>
            <w:noWrap/>
            <w:vAlign w:val="center"/>
            <w:hideMark/>
          </w:tcPr>
          <w:p w14:paraId="4D4880F9" w14:textId="77777777" w:rsidR="00543335" w:rsidRDefault="00543335" w:rsidP="004D2E48">
            <w:pPr>
              <w:jc w:val="center"/>
              <w:rPr>
                <w:sz w:val="20"/>
                <w:szCs w:val="20"/>
              </w:rPr>
            </w:pPr>
          </w:p>
        </w:tc>
        <w:tc>
          <w:tcPr>
            <w:tcW w:w="1391" w:type="dxa"/>
            <w:tcBorders>
              <w:top w:val="nil"/>
              <w:left w:val="nil"/>
              <w:bottom w:val="nil"/>
              <w:right w:val="nil"/>
            </w:tcBorders>
            <w:shd w:val="clear" w:color="auto" w:fill="auto"/>
            <w:noWrap/>
            <w:vAlign w:val="center"/>
            <w:hideMark/>
          </w:tcPr>
          <w:p w14:paraId="7188B0D0" w14:textId="77777777" w:rsidR="00543335" w:rsidRDefault="00543335" w:rsidP="004D2E48">
            <w:pPr>
              <w:jc w:val="center"/>
              <w:rPr>
                <w:rFonts w:ascii="Arial" w:hAnsi="Arial" w:cs="Arial"/>
                <w:color w:val="000000"/>
                <w:sz w:val="20"/>
                <w:szCs w:val="20"/>
              </w:rPr>
            </w:pPr>
            <w:r>
              <w:rPr>
                <w:rFonts w:ascii="Arial" w:hAnsi="Arial" w:cs="Arial"/>
                <w:color w:val="000000"/>
                <w:sz w:val="20"/>
                <w:szCs w:val="20"/>
              </w:rPr>
              <w:t>Risk</w:t>
            </w:r>
          </w:p>
        </w:tc>
      </w:tr>
      <w:tr w:rsidR="00543335" w14:paraId="30B38E7A" w14:textId="77777777" w:rsidTr="004D2E48">
        <w:trPr>
          <w:trHeight w:val="300"/>
        </w:trPr>
        <w:tc>
          <w:tcPr>
            <w:tcW w:w="3640" w:type="dxa"/>
            <w:tcBorders>
              <w:top w:val="nil"/>
              <w:left w:val="nil"/>
              <w:bottom w:val="nil"/>
              <w:right w:val="nil"/>
            </w:tcBorders>
            <w:shd w:val="clear" w:color="auto" w:fill="auto"/>
            <w:noWrap/>
            <w:vAlign w:val="center"/>
            <w:hideMark/>
          </w:tcPr>
          <w:p w14:paraId="647E5B1B" w14:textId="77777777" w:rsidR="00543335" w:rsidRDefault="00543335" w:rsidP="004D2E48">
            <w:pPr>
              <w:jc w:val="center"/>
              <w:rPr>
                <w:rFonts w:ascii="Arial" w:hAnsi="Arial" w:cs="Arial"/>
                <w:color w:val="000000"/>
                <w:sz w:val="20"/>
                <w:szCs w:val="20"/>
              </w:rPr>
            </w:pPr>
          </w:p>
        </w:tc>
        <w:tc>
          <w:tcPr>
            <w:tcW w:w="1501" w:type="dxa"/>
            <w:tcBorders>
              <w:top w:val="nil"/>
              <w:left w:val="nil"/>
              <w:bottom w:val="nil"/>
              <w:right w:val="nil"/>
            </w:tcBorders>
            <w:shd w:val="clear" w:color="auto" w:fill="auto"/>
            <w:noWrap/>
            <w:vAlign w:val="center"/>
            <w:hideMark/>
          </w:tcPr>
          <w:p w14:paraId="5E7A1098" w14:textId="77777777" w:rsidR="00543335" w:rsidRDefault="00543335" w:rsidP="004D2E48">
            <w:pPr>
              <w:rPr>
                <w:sz w:val="20"/>
                <w:szCs w:val="20"/>
              </w:rPr>
            </w:pPr>
          </w:p>
        </w:tc>
        <w:tc>
          <w:tcPr>
            <w:tcW w:w="839" w:type="dxa"/>
            <w:tcBorders>
              <w:top w:val="nil"/>
              <w:left w:val="nil"/>
              <w:bottom w:val="nil"/>
              <w:right w:val="nil"/>
            </w:tcBorders>
            <w:shd w:val="clear" w:color="auto" w:fill="auto"/>
            <w:noWrap/>
            <w:vAlign w:val="center"/>
            <w:hideMark/>
          </w:tcPr>
          <w:p w14:paraId="0BDB85BE" w14:textId="77777777" w:rsidR="00543335" w:rsidRDefault="00543335" w:rsidP="004D2E48">
            <w:pPr>
              <w:jc w:val="center"/>
              <w:rPr>
                <w:rFonts w:ascii="Arial" w:hAnsi="Arial" w:cs="Arial"/>
                <w:color w:val="000000"/>
                <w:sz w:val="20"/>
                <w:szCs w:val="20"/>
              </w:rPr>
            </w:pPr>
            <w:r>
              <w:rPr>
                <w:rFonts w:ascii="Arial" w:hAnsi="Arial" w:cs="Arial"/>
                <w:color w:val="000000"/>
                <w:sz w:val="20"/>
                <w:szCs w:val="20"/>
              </w:rPr>
              <w:t>Risk</w:t>
            </w:r>
          </w:p>
        </w:tc>
        <w:tc>
          <w:tcPr>
            <w:tcW w:w="1391" w:type="dxa"/>
            <w:tcBorders>
              <w:top w:val="nil"/>
              <w:left w:val="nil"/>
              <w:bottom w:val="nil"/>
              <w:right w:val="nil"/>
            </w:tcBorders>
            <w:shd w:val="clear" w:color="auto" w:fill="auto"/>
            <w:noWrap/>
            <w:vAlign w:val="center"/>
            <w:hideMark/>
          </w:tcPr>
          <w:p w14:paraId="7FA67A6C" w14:textId="77777777" w:rsidR="00543335" w:rsidRDefault="00543335" w:rsidP="004D2E48">
            <w:pPr>
              <w:jc w:val="center"/>
              <w:rPr>
                <w:rFonts w:ascii="Arial" w:hAnsi="Arial" w:cs="Arial"/>
                <w:color w:val="000000"/>
                <w:sz w:val="20"/>
                <w:szCs w:val="20"/>
              </w:rPr>
            </w:pPr>
            <w:r>
              <w:rPr>
                <w:rFonts w:ascii="Arial" w:hAnsi="Arial" w:cs="Arial"/>
                <w:color w:val="000000"/>
                <w:sz w:val="20"/>
                <w:szCs w:val="20"/>
              </w:rPr>
              <w:t>Weighted</w:t>
            </w:r>
          </w:p>
        </w:tc>
      </w:tr>
      <w:tr w:rsidR="00543335" w14:paraId="6CDB5AC8" w14:textId="77777777" w:rsidTr="004D2E48">
        <w:trPr>
          <w:trHeight w:val="300"/>
        </w:trPr>
        <w:tc>
          <w:tcPr>
            <w:tcW w:w="3640" w:type="dxa"/>
            <w:tcBorders>
              <w:top w:val="nil"/>
              <w:left w:val="nil"/>
              <w:bottom w:val="nil"/>
              <w:right w:val="nil"/>
            </w:tcBorders>
            <w:shd w:val="clear" w:color="auto" w:fill="auto"/>
            <w:noWrap/>
            <w:vAlign w:val="center"/>
            <w:hideMark/>
          </w:tcPr>
          <w:p w14:paraId="736DA0EE" w14:textId="77777777" w:rsidR="00543335" w:rsidRDefault="00543335" w:rsidP="004D2E48">
            <w:pPr>
              <w:rPr>
                <w:rFonts w:ascii="Arial" w:hAnsi="Arial" w:cs="Arial"/>
                <w:b/>
                <w:bCs/>
                <w:color w:val="000000"/>
                <w:sz w:val="20"/>
                <w:szCs w:val="20"/>
              </w:rPr>
            </w:pPr>
            <w:r>
              <w:rPr>
                <w:rFonts w:ascii="Arial" w:hAnsi="Arial" w:cs="Arial"/>
                <w:b/>
                <w:bCs/>
                <w:color w:val="000000"/>
                <w:sz w:val="20"/>
                <w:szCs w:val="20"/>
              </w:rPr>
              <w:t>Exposures</w:t>
            </w:r>
          </w:p>
        </w:tc>
        <w:tc>
          <w:tcPr>
            <w:tcW w:w="1501" w:type="dxa"/>
            <w:tcBorders>
              <w:top w:val="nil"/>
              <w:left w:val="nil"/>
              <w:bottom w:val="nil"/>
              <w:right w:val="nil"/>
            </w:tcBorders>
            <w:shd w:val="clear" w:color="auto" w:fill="auto"/>
            <w:noWrap/>
            <w:vAlign w:val="center"/>
            <w:hideMark/>
          </w:tcPr>
          <w:p w14:paraId="4FC3B6A8" w14:textId="77777777" w:rsidR="00543335" w:rsidRDefault="00543335" w:rsidP="004D2E48">
            <w:pPr>
              <w:jc w:val="center"/>
              <w:rPr>
                <w:rFonts w:ascii="Arial" w:hAnsi="Arial" w:cs="Arial"/>
                <w:color w:val="000000"/>
                <w:sz w:val="20"/>
                <w:szCs w:val="20"/>
              </w:rPr>
            </w:pPr>
            <w:r>
              <w:rPr>
                <w:rFonts w:ascii="Arial" w:hAnsi="Arial" w:cs="Arial"/>
                <w:color w:val="000000"/>
                <w:sz w:val="20"/>
                <w:szCs w:val="20"/>
              </w:rPr>
              <w:t>Exposure</w:t>
            </w:r>
          </w:p>
        </w:tc>
        <w:tc>
          <w:tcPr>
            <w:tcW w:w="839" w:type="dxa"/>
            <w:tcBorders>
              <w:top w:val="nil"/>
              <w:left w:val="nil"/>
              <w:bottom w:val="nil"/>
              <w:right w:val="nil"/>
            </w:tcBorders>
            <w:shd w:val="clear" w:color="auto" w:fill="auto"/>
            <w:noWrap/>
            <w:vAlign w:val="center"/>
            <w:hideMark/>
          </w:tcPr>
          <w:p w14:paraId="22432FF6" w14:textId="77777777" w:rsidR="00543335" w:rsidRDefault="00543335" w:rsidP="004D2E48">
            <w:pPr>
              <w:jc w:val="center"/>
              <w:rPr>
                <w:rFonts w:ascii="Arial" w:hAnsi="Arial" w:cs="Arial"/>
                <w:color w:val="000000"/>
                <w:sz w:val="20"/>
                <w:szCs w:val="20"/>
              </w:rPr>
            </w:pPr>
            <w:r>
              <w:rPr>
                <w:rFonts w:ascii="Arial" w:hAnsi="Arial" w:cs="Arial"/>
                <w:color w:val="000000"/>
                <w:sz w:val="20"/>
                <w:szCs w:val="20"/>
              </w:rPr>
              <w:t>Weight</w:t>
            </w:r>
          </w:p>
        </w:tc>
        <w:tc>
          <w:tcPr>
            <w:tcW w:w="1391" w:type="dxa"/>
            <w:tcBorders>
              <w:top w:val="nil"/>
              <w:left w:val="nil"/>
              <w:bottom w:val="nil"/>
              <w:right w:val="nil"/>
            </w:tcBorders>
            <w:shd w:val="clear" w:color="auto" w:fill="auto"/>
            <w:noWrap/>
            <w:vAlign w:val="center"/>
            <w:hideMark/>
          </w:tcPr>
          <w:p w14:paraId="0693BD8C" w14:textId="77777777" w:rsidR="00543335" w:rsidRDefault="00543335" w:rsidP="004D2E48">
            <w:pPr>
              <w:jc w:val="center"/>
              <w:rPr>
                <w:rFonts w:ascii="Arial" w:hAnsi="Arial" w:cs="Arial"/>
                <w:color w:val="000000"/>
                <w:sz w:val="20"/>
                <w:szCs w:val="20"/>
              </w:rPr>
            </w:pPr>
            <w:r>
              <w:rPr>
                <w:rFonts w:ascii="Arial" w:hAnsi="Arial" w:cs="Arial"/>
                <w:color w:val="000000"/>
                <w:sz w:val="20"/>
                <w:szCs w:val="20"/>
              </w:rPr>
              <w:t>Exposures</w:t>
            </w:r>
          </w:p>
        </w:tc>
      </w:tr>
      <w:tr w:rsidR="00543335" w14:paraId="6D62FD64" w14:textId="77777777" w:rsidTr="004D2E48">
        <w:trPr>
          <w:trHeight w:val="300"/>
        </w:trPr>
        <w:tc>
          <w:tcPr>
            <w:tcW w:w="3640" w:type="dxa"/>
            <w:tcBorders>
              <w:top w:val="nil"/>
              <w:left w:val="nil"/>
              <w:bottom w:val="nil"/>
              <w:right w:val="nil"/>
            </w:tcBorders>
            <w:shd w:val="clear" w:color="auto" w:fill="auto"/>
            <w:noWrap/>
            <w:vAlign w:val="center"/>
            <w:hideMark/>
          </w:tcPr>
          <w:p w14:paraId="363689F7" w14:textId="77777777" w:rsidR="00543335" w:rsidRDefault="00543335" w:rsidP="004D2E48">
            <w:pPr>
              <w:jc w:val="center"/>
              <w:rPr>
                <w:rFonts w:ascii="Arial" w:hAnsi="Arial" w:cs="Arial"/>
                <w:color w:val="000000"/>
                <w:sz w:val="20"/>
                <w:szCs w:val="20"/>
              </w:rPr>
            </w:pPr>
          </w:p>
        </w:tc>
        <w:tc>
          <w:tcPr>
            <w:tcW w:w="1501" w:type="dxa"/>
            <w:tcBorders>
              <w:top w:val="nil"/>
              <w:left w:val="nil"/>
              <w:bottom w:val="nil"/>
              <w:right w:val="nil"/>
            </w:tcBorders>
            <w:shd w:val="clear" w:color="auto" w:fill="auto"/>
            <w:noWrap/>
            <w:vAlign w:val="center"/>
            <w:hideMark/>
          </w:tcPr>
          <w:p w14:paraId="6557A45E" w14:textId="77777777" w:rsidR="00543335" w:rsidRDefault="00543335" w:rsidP="004D2E48">
            <w:pPr>
              <w:rPr>
                <w:sz w:val="20"/>
                <w:szCs w:val="20"/>
              </w:rPr>
            </w:pPr>
          </w:p>
        </w:tc>
        <w:tc>
          <w:tcPr>
            <w:tcW w:w="839" w:type="dxa"/>
            <w:tcBorders>
              <w:top w:val="nil"/>
              <w:left w:val="nil"/>
              <w:bottom w:val="nil"/>
              <w:right w:val="nil"/>
            </w:tcBorders>
            <w:shd w:val="clear" w:color="auto" w:fill="auto"/>
            <w:noWrap/>
            <w:vAlign w:val="center"/>
            <w:hideMark/>
          </w:tcPr>
          <w:p w14:paraId="6E49899B" w14:textId="77777777" w:rsidR="00543335" w:rsidRDefault="00543335" w:rsidP="004D2E48">
            <w:pPr>
              <w:jc w:val="right"/>
              <w:rPr>
                <w:sz w:val="20"/>
                <w:szCs w:val="20"/>
              </w:rPr>
            </w:pPr>
          </w:p>
        </w:tc>
        <w:tc>
          <w:tcPr>
            <w:tcW w:w="1391" w:type="dxa"/>
            <w:tcBorders>
              <w:top w:val="nil"/>
              <w:left w:val="nil"/>
              <w:bottom w:val="nil"/>
              <w:right w:val="nil"/>
            </w:tcBorders>
            <w:shd w:val="clear" w:color="auto" w:fill="auto"/>
            <w:noWrap/>
            <w:vAlign w:val="center"/>
            <w:hideMark/>
          </w:tcPr>
          <w:p w14:paraId="1630E8E3" w14:textId="77777777" w:rsidR="00543335" w:rsidRDefault="00543335" w:rsidP="004D2E48">
            <w:pPr>
              <w:rPr>
                <w:sz w:val="20"/>
                <w:szCs w:val="20"/>
              </w:rPr>
            </w:pPr>
          </w:p>
        </w:tc>
      </w:tr>
      <w:tr w:rsidR="00543335" w14:paraId="5F31004C" w14:textId="77777777" w:rsidTr="004D2E48">
        <w:trPr>
          <w:trHeight w:val="300"/>
        </w:trPr>
        <w:tc>
          <w:tcPr>
            <w:tcW w:w="3640" w:type="dxa"/>
            <w:tcBorders>
              <w:top w:val="nil"/>
              <w:left w:val="nil"/>
              <w:bottom w:val="nil"/>
              <w:right w:val="nil"/>
            </w:tcBorders>
            <w:shd w:val="clear" w:color="auto" w:fill="auto"/>
            <w:noWrap/>
            <w:vAlign w:val="center"/>
            <w:hideMark/>
          </w:tcPr>
          <w:p w14:paraId="099FD6A0" w14:textId="77777777" w:rsidR="00543335" w:rsidRDefault="00543335" w:rsidP="004D2E48">
            <w:pPr>
              <w:rPr>
                <w:rFonts w:ascii="Arial" w:hAnsi="Arial" w:cs="Arial"/>
                <w:color w:val="000000"/>
                <w:sz w:val="20"/>
                <w:szCs w:val="20"/>
              </w:rPr>
            </w:pPr>
            <w:r>
              <w:rPr>
                <w:rFonts w:ascii="Arial" w:hAnsi="Arial" w:cs="Arial"/>
                <w:color w:val="000000"/>
                <w:sz w:val="20"/>
                <w:szCs w:val="20"/>
              </w:rPr>
              <w:t>NZ Registered Bank Deposits</w:t>
            </w:r>
          </w:p>
        </w:tc>
        <w:tc>
          <w:tcPr>
            <w:tcW w:w="1501" w:type="dxa"/>
            <w:tcBorders>
              <w:top w:val="nil"/>
              <w:left w:val="nil"/>
              <w:bottom w:val="nil"/>
              <w:right w:val="nil"/>
            </w:tcBorders>
            <w:shd w:val="clear" w:color="auto" w:fill="auto"/>
            <w:noWrap/>
            <w:vAlign w:val="center"/>
            <w:hideMark/>
          </w:tcPr>
          <w:p w14:paraId="53F95DD0"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10,248,075 </w:t>
            </w:r>
          </w:p>
        </w:tc>
        <w:tc>
          <w:tcPr>
            <w:tcW w:w="839" w:type="dxa"/>
            <w:tcBorders>
              <w:top w:val="nil"/>
              <w:left w:val="nil"/>
              <w:bottom w:val="nil"/>
              <w:right w:val="nil"/>
            </w:tcBorders>
            <w:shd w:val="clear" w:color="auto" w:fill="auto"/>
            <w:noWrap/>
            <w:vAlign w:val="center"/>
            <w:hideMark/>
          </w:tcPr>
          <w:p w14:paraId="2090DC6A"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20%</w:t>
            </w:r>
          </w:p>
        </w:tc>
        <w:tc>
          <w:tcPr>
            <w:tcW w:w="1391" w:type="dxa"/>
            <w:tcBorders>
              <w:top w:val="nil"/>
              <w:left w:val="nil"/>
              <w:bottom w:val="nil"/>
              <w:right w:val="nil"/>
            </w:tcBorders>
            <w:shd w:val="clear" w:color="auto" w:fill="auto"/>
            <w:noWrap/>
            <w:vAlign w:val="center"/>
            <w:hideMark/>
          </w:tcPr>
          <w:p w14:paraId="70649EE7"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2,049,615 </w:t>
            </w:r>
          </w:p>
        </w:tc>
      </w:tr>
      <w:tr w:rsidR="00543335" w14:paraId="1905E921" w14:textId="77777777" w:rsidTr="004D2E48">
        <w:trPr>
          <w:trHeight w:val="300"/>
        </w:trPr>
        <w:tc>
          <w:tcPr>
            <w:tcW w:w="3640" w:type="dxa"/>
            <w:tcBorders>
              <w:top w:val="nil"/>
              <w:left w:val="nil"/>
              <w:bottom w:val="nil"/>
              <w:right w:val="nil"/>
            </w:tcBorders>
            <w:shd w:val="clear" w:color="auto" w:fill="auto"/>
            <w:noWrap/>
            <w:vAlign w:val="center"/>
            <w:hideMark/>
          </w:tcPr>
          <w:p w14:paraId="75E55187" w14:textId="77777777" w:rsidR="00543335" w:rsidRDefault="00543335" w:rsidP="004D2E48">
            <w:pPr>
              <w:rPr>
                <w:rFonts w:ascii="Arial" w:hAnsi="Arial" w:cs="Arial"/>
                <w:color w:val="000000"/>
                <w:sz w:val="20"/>
                <w:szCs w:val="20"/>
              </w:rPr>
            </w:pPr>
            <w:r>
              <w:rPr>
                <w:rFonts w:ascii="Arial" w:hAnsi="Arial" w:cs="Arial"/>
                <w:color w:val="000000"/>
                <w:sz w:val="20"/>
                <w:szCs w:val="20"/>
              </w:rPr>
              <w:t>Residential mortgages:</w:t>
            </w:r>
          </w:p>
        </w:tc>
        <w:tc>
          <w:tcPr>
            <w:tcW w:w="1501" w:type="dxa"/>
            <w:tcBorders>
              <w:top w:val="nil"/>
              <w:left w:val="nil"/>
              <w:bottom w:val="nil"/>
              <w:right w:val="nil"/>
            </w:tcBorders>
            <w:shd w:val="clear" w:color="auto" w:fill="auto"/>
            <w:noWrap/>
            <w:vAlign w:val="center"/>
            <w:hideMark/>
          </w:tcPr>
          <w:p w14:paraId="797593C9" w14:textId="77777777" w:rsidR="00543335" w:rsidRDefault="00543335" w:rsidP="004D2E48">
            <w:pPr>
              <w:rPr>
                <w:rFonts w:ascii="Arial" w:hAnsi="Arial" w:cs="Arial"/>
                <w:color w:val="000000"/>
                <w:sz w:val="20"/>
                <w:szCs w:val="20"/>
              </w:rPr>
            </w:pPr>
          </w:p>
        </w:tc>
        <w:tc>
          <w:tcPr>
            <w:tcW w:w="839" w:type="dxa"/>
            <w:tcBorders>
              <w:top w:val="nil"/>
              <w:left w:val="nil"/>
              <w:bottom w:val="nil"/>
              <w:right w:val="nil"/>
            </w:tcBorders>
            <w:shd w:val="clear" w:color="auto" w:fill="auto"/>
            <w:noWrap/>
            <w:vAlign w:val="center"/>
            <w:hideMark/>
          </w:tcPr>
          <w:p w14:paraId="2EB38E04" w14:textId="77777777" w:rsidR="00543335" w:rsidRDefault="00543335" w:rsidP="004D2E48">
            <w:pPr>
              <w:jc w:val="right"/>
              <w:rPr>
                <w:sz w:val="20"/>
                <w:szCs w:val="20"/>
              </w:rPr>
            </w:pPr>
          </w:p>
        </w:tc>
        <w:tc>
          <w:tcPr>
            <w:tcW w:w="1391" w:type="dxa"/>
            <w:tcBorders>
              <w:top w:val="nil"/>
              <w:left w:val="nil"/>
              <w:bottom w:val="nil"/>
              <w:right w:val="nil"/>
            </w:tcBorders>
            <w:shd w:val="clear" w:color="auto" w:fill="auto"/>
            <w:noWrap/>
            <w:vAlign w:val="center"/>
            <w:hideMark/>
          </w:tcPr>
          <w:p w14:paraId="395BFD01" w14:textId="77777777" w:rsidR="00543335" w:rsidRDefault="00543335" w:rsidP="004D2E48">
            <w:pPr>
              <w:jc w:val="right"/>
              <w:rPr>
                <w:sz w:val="20"/>
                <w:szCs w:val="20"/>
              </w:rPr>
            </w:pPr>
          </w:p>
        </w:tc>
      </w:tr>
      <w:tr w:rsidR="00543335" w14:paraId="4C0BA71C" w14:textId="77777777" w:rsidTr="004D2E48">
        <w:trPr>
          <w:trHeight w:val="300"/>
        </w:trPr>
        <w:tc>
          <w:tcPr>
            <w:tcW w:w="3640" w:type="dxa"/>
            <w:tcBorders>
              <w:top w:val="nil"/>
              <w:left w:val="nil"/>
              <w:bottom w:val="nil"/>
              <w:right w:val="nil"/>
            </w:tcBorders>
            <w:shd w:val="clear" w:color="auto" w:fill="auto"/>
            <w:noWrap/>
            <w:vAlign w:val="center"/>
            <w:hideMark/>
          </w:tcPr>
          <w:p w14:paraId="12CD61B2" w14:textId="77777777" w:rsidR="00543335" w:rsidRDefault="00543335" w:rsidP="004D2E48">
            <w:pPr>
              <w:rPr>
                <w:rFonts w:ascii="Arial" w:hAnsi="Arial" w:cs="Arial"/>
                <w:color w:val="000000"/>
                <w:sz w:val="20"/>
                <w:szCs w:val="20"/>
              </w:rPr>
            </w:pPr>
            <w:r>
              <w:rPr>
                <w:rFonts w:ascii="Arial" w:hAnsi="Arial" w:cs="Arial"/>
                <w:color w:val="000000"/>
                <w:sz w:val="20"/>
                <w:szCs w:val="20"/>
              </w:rPr>
              <w:t xml:space="preserve">  LVR 70% and under</w:t>
            </w:r>
          </w:p>
        </w:tc>
        <w:tc>
          <w:tcPr>
            <w:tcW w:w="1501" w:type="dxa"/>
            <w:tcBorders>
              <w:top w:val="nil"/>
              <w:left w:val="nil"/>
              <w:bottom w:val="nil"/>
              <w:right w:val="nil"/>
            </w:tcBorders>
            <w:shd w:val="clear" w:color="auto" w:fill="auto"/>
            <w:noWrap/>
            <w:vAlign w:val="center"/>
            <w:hideMark/>
          </w:tcPr>
          <w:p w14:paraId="6C29A0CF"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39,366,442 </w:t>
            </w:r>
          </w:p>
        </w:tc>
        <w:tc>
          <w:tcPr>
            <w:tcW w:w="839" w:type="dxa"/>
            <w:tcBorders>
              <w:top w:val="nil"/>
              <w:left w:val="nil"/>
              <w:bottom w:val="nil"/>
              <w:right w:val="nil"/>
            </w:tcBorders>
            <w:shd w:val="clear" w:color="auto" w:fill="auto"/>
            <w:noWrap/>
            <w:vAlign w:val="center"/>
            <w:hideMark/>
          </w:tcPr>
          <w:p w14:paraId="140B196A"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35%</w:t>
            </w:r>
          </w:p>
        </w:tc>
        <w:tc>
          <w:tcPr>
            <w:tcW w:w="1391" w:type="dxa"/>
            <w:tcBorders>
              <w:top w:val="nil"/>
              <w:left w:val="nil"/>
              <w:bottom w:val="nil"/>
              <w:right w:val="nil"/>
            </w:tcBorders>
            <w:shd w:val="clear" w:color="auto" w:fill="auto"/>
            <w:noWrap/>
            <w:vAlign w:val="center"/>
            <w:hideMark/>
          </w:tcPr>
          <w:p w14:paraId="08DAC6DC"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13,778,255 </w:t>
            </w:r>
          </w:p>
        </w:tc>
      </w:tr>
      <w:tr w:rsidR="00543335" w14:paraId="332DB477" w14:textId="77777777" w:rsidTr="004D2E48">
        <w:trPr>
          <w:trHeight w:val="300"/>
        </w:trPr>
        <w:tc>
          <w:tcPr>
            <w:tcW w:w="3640" w:type="dxa"/>
            <w:tcBorders>
              <w:top w:val="nil"/>
              <w:left w:val="nil"/>
              <w:bottom w:val="nil"/>
              <w:right w:val="nil"/>
            </w:tcBorders>
            <w:shd w:val="clear" w:color="auto" w:fill="auto"/>
            <w:noWrap/>
            <w:vAlign w:val="center"/>
            <w:hideMark/>
          </w:tcPr>
          <w:p w14:paraId="7616B80F" w14:textId="77777777" w:rsidR="00543335" w:rsidRDefault="00543335" w:rsidP="004D2E48">
            <w:pPr>
              <w:rPr>
                <w:rFonts w:ascii="Arial" w:hAnsi="Arial" w:cs="Arial"/>
                <w:color w:val="000000"/>
                <w:sz w:val="20"/>
                <w:szCs w:val="20"/>
              </w:rPr>
            </w:pPr>
            <w:r>
              <w:rPr>
                <w:rFonts w:ascii="Arial" w:hAnsi="Arial" w:cs="Arial"/>
                <w:color w:val="000000"/>
                <w:sz w:val="20"/>
                <w:szCs w:val="20"/>
              </w:rPr>
              <w:t xml:space="preserve">  LVR 70% - 80%</w:t>
            </w:r>
          </w:p>
        </w:tc>
        <w:tc>
          <w:tcPr>
            <w:tcW w:w="1501" w:type="dxa"/>
            <w:tcBorders>
              <w:top w:val="nil"/>
              <w:left w:val="nil"/>
              <w:bottom w:val="nil"/>
              <w:right w:val="nil"/>
            </w:tcBorders>
            <w:shd w:val="clear" w:color="auto" w:fill="auto"/>
            <w:noWrap/>
            <w:vAlign w:val="center"/>
            <w:hideMark/>
          </w:tcPr>
          <w:p w14:paraId="609FFDF3"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6,687,119 </w:t>
            </w:r>
          </w:p>
        </w:tc>
        <w:tc>
          <w:tcPr>
            <w:tcW w:w="839" w:type="dxa"/>
            <w:tcBorders>
              <w:top w:val="nil"/>
              <w:left w:val="nil"/>
              <w:bottom w:val="nil"/>
              <w:right w:val="nil"/>
            </w:tcBorders>
            <w:shd w:val="clear" w:color="auto" w:fill="auto"/>
            <w:noWrap/>
            <w:vAlign w:val="center"/>
            <w:hideMark/>
          </w:tcPr>
          <w:p w14:paraId="74DE3FB2"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50%</w:t>
            </w:r>
          </w:p>
        </w:tc>
        <w:tc>
          <w:tcPr>
            <w:tcW w:w="1391" w:type="dxa"/>
            <w:tcBorders>
              <w:top w:val="nil"/>
              <w:left w:val="nil"/>
              <w:bottom w:val="nil"/>
              <w:right w:val="nil"/>
            </w:tcBorders>
            <w:shd w:val="clear" w:color="auto" w:fill="auto"/>
            <w:noWrap/>
            <w:vAlign w:val="center"/>
            <w:hideMark/>
          </w:tcPr>
          <w:p w14:paraId="0D3E8980"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3,343,560 </w:t>
            </w:r>
          </w:p>
        </w:tc>
      </w:tr>
      <w:tr w:rsidR="00543335" w14:paraId="13589781" w14:textId="77777777" w:rsidTr="004D2E48">
        <w:trPr>
          <w:trHeight w:val="300"/>
        </w:trPr>
        <w:tc>
          <w:tcPr>
            <w:tcW w:w="3640" w:type="dxa"/>
            <w:tcBorders>
              <w:top w:val="nil"/>
              <w:left w:val="nil"/>
              <w:bottom w:val="nil"/>
              <w:right w:val="nil"/>
            </w:tcBorders>
            <w:shd w:val="clear" w:color="auto" w:fill="auto"/>
            <w:noWrap/>
            <w:vAlign w:val="center"/>
            <w:hideMark/>
          </w:tcPr>
          <w:p w14:paraId="7B70FF36" w14:textId="77777777" w:rsidR="00543335" w:rsidRDefault="00543335" w:rsidP="004D2E48">
            <w:pPr>
              <w:rPr>
                <w:rFonts w:ascii="Arial" w:hAnsi="Arial" w:cs="Arial"/>
                <w:color w:val="000000"/>
                <w:sz w:val="20"/>
                <w:szCs w:val="20"/>
              </w:rPr>
            </w:pPr>
            <w:r>
              <w:rPr>
                <w:rFonts w:ascii="Arial" w:hAnsi="Arial" w:cs="Arial"/>
                <w:color w:val="000000"/>
                <w:sz w:val="20"/>
                <w:szCs w:val="20"/>
              </w:rPr>
              <w:t xml:space="preserve">  Second mortgages</w:t>
            </w:r>
          </w:p>
        </w:tc>
        <w:tc>
          <w:tcPr>
            <w:tcW w:w="1501" w:type="dxa"/>
            <w:tcBorders>
              <w:top w:val="nil"/>
              <w:left w:val="nil"/>
              <w:bottom w:val="nil"/>
              <w:right w:val="nil"/>
            </w:tcBorders>
            <w:shd w:val="clear" w:color="auto" w:fill="auto"/>
            <w:noWrap/>
            <w:vAlign w:val="center"/>
            <w:hideMark/>
          </w:tcPr>
          <w:p w14:paraId="38FBAD7C"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107,018 </w:t>
            </w:r>
          </w:p>
        </w:tc>
        <w:tc>
          <w:tcPr>
            <w:tcW w:w="839" w:type="dxa"/>
            <w:tcBorders>
              <w:top w:val="nil"/>
              <w:left w:val="nil"/>
              <w:bottom w:val="nil"/>
              <w:right w:val="nil"/>
            </w:tcBorders>
            <w:shd w:val="clear" w:color="auto" w:fill="auto"/>
            <w:noWrap/>
            <w:vAlign w:val="center"/>
            <w:hideMark/>
          </w:tcPr>
          <w:p w14:paraId="2A3B330F"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150%</w:t>
            </w:r>
          </w:p>
        </w:tc>
        <w:tc>
          <w:tcPr>
            <w:tcW w:w="1391" w:type="dxa"/>
            <w:tcBorders>
              <w:top w:val="nil"/>
              <w:left w:val="nil"/>
              <w:bottom w:val="nil"/>
              <w:right w:val="nil"/>
            </w:tcBorders>
            <w:shd w:val="clear" w:color="auto" w:fill="auto"/>
            <w:noWrap/>
            <w:vAlign w:val="center"/>
            <w:hideMark/>
          </w:tcPr>
          <w:p w14:paraId="3C228517"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160,527 </w:t>
            </w:r>
          </w:p>
        </w:tc>
      </w:tr>
      <w:tr w:rsidR="00543335" w14:paraId="65765767" w14:textId="77777777" w:rsidTr="004D2E48">
        <w:trPr>
          <w:trHeight w:val="510"/>
        </w:trPr>
        <w:tc>
          <w:tcPr>
            <w:tcW w:w="3640" w:type="dxa"/>
            <w:tcBorders>
              <w:top w:val="nil"/>
              <w:left w:val="nil"/>
              <w:bottom w:val="nil"/>
              <w:right w:val="nil"/>
            </w:tcBorders>
            <w:shd w:val="clear" w:color="auto" w:fill="auto"/>
            <w:vAlign w:val="center"/>
            <w:hideMark/>
          </w:tcPr>
          <w:p w14:paraId="48B8E2AA" w14:textId="77777777" w:rsidR="00543335" w:rsidRDefault="00543335" w:rsidP="004D2E48">
            <w:pPr>
              <w:rPr>
                <w:rFonts w:ascii="Arial" w:hAnsi="Arial" w:cs="Arial"/>
                <w:color w:val="000000"/>
                <w:sz w:val="20"/>
                <w:szCs w:val="20"/>
              </w:rPr>
            </w:pPr>
            <w:r>
              <w:rPr>
                <w:rFonts w:ascii="Arial" w:hAnsi="Arial" w:cs="Arial"/>
                <w:color w:val="000000"/>
                <w:sz w:val="20"/>
                <w:szCs w:val="20"/>
              </w:rPr>
              <w:t>Other loans with qualifying security over land and buildings:</w:t>
            </w:r>
          </w:p>
        </w:tc>
        <w:tc>
          <w:tcPr>
            <w:tcW w:w="1501" w:type="dxa"/>
            <w:tcBorders>
              <w:top w:val="nil"/>
              <w:left w:val="nil"/>
              <w:bottom w:val="nil"/>
              <w:right w:val="nil"/>
            </w:tcBorders>
            <w:shd w:val="clear" w:color="auto" w:fill="auto"/>
            <w:noWrap/>
            <w:vAlign w:val="center"/>
            <w:hideMark/>
          </w:tcPr>
          <w:p w14:paraId="77DC7370" w14:textId="77777777" w:rsidR="00543335" w:rsidRDefault="00543335" w:rsidP="004D2E48">
            <w:pPr>
              <w:rPr>
                <w:rFonts w:ascii="Arial" w:hAnsi="Arial" w:cs="Arial"/>
                <w:color w:val="000000"/>
                <w:sz w:val="20"/>
                <w:szCs w:val="20"/>
              </w:rPr>
            </w:pPr>
          </w:p>
        </w:tc>
        <w:tc>
          <w:tcPr>
            <w:tcW w:w="839" w:type="dxa"/>
            <w:tcBorders>
              <w:top w:val="nil"/>
              <w:left w:val="nil"/>
              <w:bottom w:val="nil"/>
              <w:right w:val="nil"/>
            </w:tcBorders>
            <w:shd w:val="clear" w:color="auto" w:fill="auto"/>
            <w:noWrap/>
            <w:vAlign w:val="center"/>
            <w:hideMark/>
          </w:tcPr>
          <w:p w14:paraId="5F458E2A" w14:textId="77777777" w:rsidR="00543335" w:rsidRDefault="00543335" w:rsidP="004D2E48">
            <w:pPr>
              <w:jc w:val="right"/>
              <w:rPr>
                <w:sz w:val="20"/>
                <w:szCs w:val="20"/>
              </w:rPr>
            </w:pPr>
          </w:p>
        </w:tc>
        <w:tc>
          <w:tcPr>
            <w:tcW w:w="1391" w:type="dxa"/>
            <w:tcBorders>
              <w:top w:val="nil"/>
              <w:left w:val="nil"/>
              <w:bottom w:val="nil"/>
              <w:right w:val="nil"/>
            </w:tcBorders>
            <w:shd w:val="clear" w:color="auto" w:fill="auto"/>
            <w:noWrap/>
            <w:vAlign w:val="center"/>
            <w:hideMark/>
          </w:tcPr>
          <w:p w14:paraId="0A6BD27A" w14:textId="77777777" w:rsidR="00543335" w:rsidRDefault="00543335" w:rsidP="004D2E48">
            <w:pPr>
              <w:jc w:val="right"/>
              <w:rPr>
                <w:sz w:val="20"/>
                <w:szCs w:val="20"/>
              </w:rPr>
            </w:pPr>
          </w:p>
        </w:tc>
      </w:tr>
      <w:tr w:rsidR="00543335" w14:paraId="59A3CDE0" w14:textId="77777777" w:rsidTr="004D2E48">
        <w:trPr>
          <w:trHeight w:val="300"/>
        </w:trPr>
        <w:tc>
          <w:tcPr>
            <w:tcW w:w="3640" w:type="dxa"/>
            <w:tcBorders>
              <w:top w:val="nil"/>
              <w:left w:val="nil"/>
              <w:bottom w:val="nil"/>
              <w:right w:val="nil"/>
            </w:tcBorders>
            <w:shd w:val="clear" w:color="auto" w:fill="auto"/>
            <w:noWrap/>
            <w:vAlign w:val="center"/>
            <w:hideMark/>
          </w:tcPr>
          <w:p w14:paraId="0803F665" w14:textId="77777777" w:rsidR="00543335" w:rsidRDefault="00543335" w:rsidP="004D2E48">
            <w:pPr>
              <w:rPr>
                <w:rFonts w:ascii="Arial" w:hAnsi="Arial" w:cs="Arial"/>
                <w:color w:val="000000"/>
                <w:sz w:val="20"/>
                <w:szCs w:val="20"/>
              </w:rPr>
            </w:pPr>
            <w:r>
              <w:rPr>
                <w:rFonts w:ascii="Arial" w:hAnsi="Arial" w:cs="Arial"/>
                <w:color w:val="000000"/>
                <w:sz w:val="20"/>
                <w:szCs w:val="20"/>
              </w:rPr>
              <w:t xml:space="preserve">  LVR 70% and under</w:t>
            </w:r>
          </w:p>
        </w:tc>
        <w:tc>
          <w:tcPr>
            <w:tcW w:w="1501" w:type="dxa"/>
            <w:tcBorders>
              <w:top w:val="nil"/>
              <w:left w:val="nil"/>
              <w:bottom w:val="nil"/>
              <w:right w:val="nil"/>
            </w:tcBorders>
            <w:shd w:val="clear" w:color="auto" w:fill="auto"/>
            <w:noWrap/>
            <w:vAlign w:val="center"/>
            <w:hideMark/>
          </w:tcPr>
          <w:p w14:paraId="1B102A5B"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7,614,612 </w:t>
            </w:r>
          </w:p>
        </w:tc>
        <w:tc>
          <w:tcPr>
            <w:tcW w:w="839" w:type="dxa"/>
            <w:tcBorders>
              <w:top w:val="nil"/>
              <w:left w:val="nil"/>
              <w:bottom w:val="nil"/>
              <w:right w:val="nil"/>
            </w:tcBorders>
            <w:shd w:val="clear" w:color="auto" w:fill="auto"/>
            <w:noWrap/>
            <w:vAlign w:val="center"/>
            <w:hideMark/>
          </w:tcPr>
          <w:p w14:paraId="5635983C"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100%</w:t>
            </w:r>
          </w:p>
        </w:tc>
        <w:tc>
          <w:tcPr>
            <w:tcW w:w="1391" w:type="dxa"/>
            <w:tcBorders>
              <w:top w:val="nil"/>
              <w:left w:val="nil"/>
              <w:bottom w:val="nil"/>
              <w:right w:val="nil"/>
            </w:tcBorders>
            <w:shd w:val="clear" w:color="auto" w:fill="auto"/>
            <w:noWrap/>
            <w:vAlign w:val="center"/>
            <w:hideMark/>
          </w:tcPr>
          <w:p w14:paraId="611E11F5"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7,614,612 </w:t>
            </w:r>
          </w:p>
        </w:tc>
      </w:tr>
      <w:tr w:rsidR="00543335" w14:paraId="6DEFADD7" w14:textId="77777777" w:rsidTr="004D2E48">
        <w:trPr>
          <w:trHeight w:val="300"/>
        </w:trPr>
        <w:tc>
          <w:tcPr>
            <w:tcW w:w="3640" w:type="dxa"/>
            <w:tcBorders>
              <w:top w:val="nil"/>
              <w:left w:val="nil"/>
              <w:bottom w:val="nil"/>
              <w:right w:val="nil"/>
            </w:tcBorders>
            <w:shd w:val="clear" w:color="auto" w:fill="auto"/>
            <w:noWrap/>
            <w:vAlign w:val="center"/>
            <w:hideMark/>
          </w:tcPr>
          <w:p w14:paraId="7C1DFD76" w14:textId="77777777" w:rsidR="00543335" w:rsidRDefault="00543335" w:rsidP="004D2E48">
            <w:pPr>
              <w:jc w:val="right"/>
              <w:rPr>
                <w:rFonts w:ascii="Arial" w:hAnsi="Arial" w:cs="Arial"/>
                <w:color w:val="000000"/>
                <w:sz w:val="20"/>
                <w:szCs w:val="20"/>
              </w:rPr>
            </w:pPr>
          </w:p>
        </w:tc>
        <w:tc>
          <w:tcPr>
            <w:tcW w:w="1501" w:type="dxa"/>
            <w:tcBorders>
              <w:top w:val="nil"/>
              <w:left w:val="nil"/>
              <w:bottom w:val="nil"/>
              <w:right w:val="nil"/>
            </w:tcBorders>
            <w:shd w:val="clear" w:color="auto" w:fill="auto"/>
            <w:noWrap/>
            <w:vAlign w:val="center"/>
            <w:hideMark/>
          </w:tcPr>
          <w:p w14:paraId="25919812" w14:textId="77777777" w:rsidR="00543335" w:rsidRDefault="00543335" w:rsidP="004D2E48">
            <w:pPr>
              <w:rPr>
                <w:sz w:val="20"/>
                <w:szCs w:val="20"/>
              </w:rPr>
            </w:pPr>
          </w:p>
        </w:tc>
        <w:tc>
          <w:tcPr>
            <w:tcW w:w="839" w:type="dxa"/>
            <w:tcBorders>
              <w:top w:val="nil"/>
              <w:left w:val="nil"/>
              <w:bottom w:val="nil"/>
              <w:right w:val="nil"/>
            </w:tcBorders>
            <w:shd w:val="clear" w:color="auto" w:fill="auto"/>
            <w:noWrap/>
            <w:vAlign w:val="center"/>
            <w:hideMark/>
          </w:tcPr>
          <w:p w14:paraId="5D83BC49" w14:textId="77777777" w:rsidR="00543335" w:rsidRDefault="00543335" w:rsidP="004D2E48">
            <w:pPr>
              <w:jc w:val="right"/>
              <w:rPr>
                <w:sz w:val="20"/>
                <w:szCs w:val="20"/>
              </w:rPr>
            </w:pPr>
          </w:p>
        </w:tc>
        <w:tc>
          <w:tcPr>
            <w:tcW w:w="1391" w:type="dxa"/>
            <w:tcBorders>
              <w:top w:val="nil"/>
              <w:left w:val="nil"/>
              <w:bottom w:val="nil"/>
              <w:right w:val="nil"/>
            </w:tcBorders>
            <w:shd w:val="clear" w:color="auto" w:fill="auto"/>
            <w:noWrap/>
            <w:vAlign w:val="center"/>
            <w:hideMark/>
          </w:tcPr>
          <w:p w14:paraId="21DB1CE1" w14:textId="77777777" w:rsidR="00543335" w:rsidRDefault="00543335" w:rsidP="004D2E48">
            <w:pPr>
              <w:jc w:val="right"/>
              <w:rPr>
                <w:sz w:val="20"/>
                <w:szCs w:val="20"/>
              </w:rPr>
            </w:pPr>
          </w:p>
        </w:tc>
      </w:tr>
      <w:tr w:rsidR="00543335" w14:paraId="3E3C44AB" w14:textId="77777777" w:rsidTr="004D2E48">
        <w:trPr>
          <w:trHeight w:val="300"/>
        </w:trPr>
        <w:tc>
          <w:tcPr>
            <w:tcW w:w="3640" w:type="dxa"/>
            <w:tcBorders>
              <w:top w:val="nil"/>
              <w:left w:val="nil"/>
              <w:bottom w:val="nil"/>
              <w:right w:val="nil"/>
            </w:tcBorders>
            <w:shd w:val="clear" w:color="auto" w:fill="auto"/>
            <w:noWrap/>
            <w:vAlign w:val="center"/>
            <w:hideMark/>
          </w:tcPr>
          <w:p w14:paraId="1EED0399" w14:textId="77777777" w:rsidR="00543335" w:rsidRDefault="00543335" w:rsidP="004D2E48">
            <w:pPr>
              <w:rPr>
                <w:rFonts w:ascii="Arial" w:hAnsi="Arial" w:cs="Arial"/>
                <w:color w:val="000000"/>
                <w:sz w:val="20"/>
                <w:szCs w:val="20"/>
              </w:rPr>
            </w:pPr>
            <w:r>
              <w:rPr>
                <w:rFonts w:ascii="Arial" w:hAnsi="Arial" w:cs="Arial"/>
                <w:color w:val="000000"/>
                <w:sz w:val="20"/>
                <w:szCs w:val="20"/>
              </w:rPr>
              <w:t>Other assets</w:t>
            </w:r>
          </w:p>
        </w:tc>
        <w:tc>
          <w:tcPr>
            <w:tcW w:w="1501" w:type="dxa"/>
            <w:tcBorders>
              <w:top w:val="nil"/>
              <w:left w:val="nil"/>
              <w:bottom w:val="nil"/>
              <w:right w:val="nil"/>
            </w:tcBorders>
            <w:shd w:val="clear" w:color="auto" w:fill="auto"/>
            <w:noWrap/>
            <w:vAlign w:val="center"/>
            <w:hideMark/>
          </w:tcPr>
          <w:p w14:paraId="05AFCD0B"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425,431 </w:t>
            </w:r>
          </w:p>
        </w:tc>
        <w:tc>
          <w:tcPr>
            <w:tcW w:w="839" w:type="dxa"/>
            <w:tcBorders>
              <w:top w:val="nil"/>
              <w:left w:val="nil"/>
              <w:bottom w:val="nil"/>
              <w:right w:val="nil"/>
            </w:tcBorders>
            <w:shd w:val="clear" w:color="auto" w:fill="auto"/>
            <w:noWrap/>
            <w:vAlign w:val="center"/>
            <w:hideMark/>
          </w:tcPr>
          <w:p w14:paraId="4459C4E9"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350%</w:t>
            </w:r>
          </w:p>
        </w:tc>
        <w:tc>
          <w:tcPr>
            <w:tcW w:w="1391" w:type="dxa"/>
            <w:tcBorders>
              <w:top w:val="nil"/>
              <w:left w:val="nil"/>
              <w:bottom w:val="nil"/>
              <w:right w:val="nil"/>
            </w:tcBorders>
            <w:shd w:val="clear" w:color="auto" w:fill="auto"/>
            <w:noWrap/>
            <w:vAlign w:val="center"/>
            <w:hideMark/>
          </w:tcPr>
          <w:p w14:paraId="42E3F509"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1,489,009 </w:t>
            </w:r>
          </w:p>
        </w:tc>
      </w:tr>
      <w:tr w:rsidR="00543335" w14:paraId="38AC8540" w14:textId="77777777" w:rsidTr="004D2E48">
        <w:trPr>
          <w:trHeight w:val="300"/>
        </w:trPr>
        <w:tc>
          <w:tcPr>
            <w:tcW w:w="3640" w:type="dxa"/>
            <w:tcBorders>
              <w:top w:val="nil"/>
              <w:left w:val="nil"/>
              <w:bottom w:val="nil"/>
              <w:right w:val="nil"/>
            </w:tcBorders>
            <w:shd w:val="clear" w:color="auto" w:fill="auto"/>
            <w:noWrap/>
            <w:vAlign w:val="center"/>
            <w:hideMark/>
          </w:tcPr>
          <w:p w14:paraId="29232B44" w14:textId="77777777" w:rsidR="00543335" w:rsidRDefault="00543335" w:rsidP="004D2E48">
            <w:pPr>
              <w:rPr>
                <w:rFonts w:ascii="Arial" w:hAnsi="Arial" w:cs="Arial"/>
                <w:color w:val="000000"/>
                <w:sz w:val="20"/>
                <w:szCs w:val="20"/>
              </w:rPr>
            </w:pPr>
            <w:r>
              <w:rPr>
                <w:rFonts w:ascii="Arial" w:hAnsi="Arial" w:cs="Arial"/>
                <w:color w:val="000000"/>
                <w:sz w:val="20"/>
                <w:szCs w:val="20"/>
              </w:rPr>
              <w:t>Deductions from capital</w:t>
            </w:r>
          </w:p>
        </w:tc>
        <w:tc>
          <w:tcPr>
            <w:tcW w:w="1501" w:type="dxa"/>
            <w:tcBorders>
              <w:top w:val="nil"/>
              <w:left w:val="nil"/>
              <w:bottom w:val="nil"/>
              <w:right w:val="nil"/>
            </w:tcBorders>
            <w:shd w:val="clear" w:color="auto" w:fill="auto"/>
            <w:noWrap/>
            <w:vAlign w:val="center"/>
            <w:hideMark/>
          </w:tcPr>
          <w:p w14:paraId="453F8CB2"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63,808 </w:t>
            </w:r>
          </w:p>
        </w:tc>
        <w:tc>
          <w:tcPr>
            <w:tcW w:w="839" w:type="dxa"/>
            <w:tcBorders>
              <w:top w:val="nil"/>
              <w:left w:val="nil"/>
              <w:bottom w:val="nil"/>
              <w:right w:val="nil"/>
            </w:tcBorders>
            <w:shd w:val="clear" w:color="auto" w:fill="auto"/>
            <w:noWrap/>
            <w:vAlign w:val="center"/>
            <w:hideMark/>
          </w:tcPr>
          <w:p w14:paraId="32055CF6" w14:textId="77777777" w:rsidR="00543335" w:rsidRDefault="00543335" w:rsidP="004D2E48">
            <w:pPr>
              <w:jc w:val="right"/>
              <w:rPr>
                <w:rFonts w:ascii="Arial" w:hAnsi="Arial" w:cs="Arial"/>
                <w:color w:val="000000"/>
                <w:sz w:val="20"/>
                <w:szCs w:val="20"/>
              </w:rPr>
            </w:pPr>
          </w:p>
        </w:tc>
        <w:tc>
          <w:tcPr>
            <w:tcW w:w="1391" w:type="dxa"/>
            <w:tcBorders>
              <w:top w:val="nil"/>
              <w:left w:val="nil"/>
              <w:bottom w:val="nil"/>
              <w:right w:val="nil"/>
            </w:tcBorders>
            <w:shd w:val="clear" w:color="auto" w:fill="auto"/>
            <w:noWrap/>
            <w:vAlign w:val="center"/>
            <w:hideMark/>
          </w:tcPr>
          <w:p w14:paraId="12CC0A1C"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   </w:t>
            </w:r>
          </w:p>
        </w:tc>
      </w:tr>
      <w:tr w:rsidR="00543335" w14:paraId="54BF14AD" w14:textId="77777777" w:rsidTr="004D2E48">
        <w:trPr>
          <w:trHeight w:val="300"/>
        </w:trPr>
        <w:tc>
          <w:tcPr>
            <w:tcW w:w="3640" w:type="dxa"/>
            <w:tcBorders>
              <w:top w:val="nil"/>
              <w:left w:val="nil"/>
              <w:bottom w:val="nil"/>
              <w:right w:val="nil"/>
            </w:tcBorders>
            <w:shd w:val="clear" w:color="auto" w:fill="auto"/>
            <w:noWrap/>
            <w:vAlign w:val="center"/>
            <w:hideMark/>
          </w:tcPr>
          <w:p w14:paraId="4D80C11D" w14:textId="77777777" w:rsidR="00543335" w:rsidRDefault="00543335" w:rsidP="004D2E48">
            <w:pPr>
              <w:jc w:val="right"/>
              <w:rPr>
                <w:rFonts w:ascii="Arial" w:hAnsi="Arial" w:cs="Arial"/>
                <w:color w:val="000000"/>
                <w:sz w:val="20"/>
                <w:szCs w:val="20"/>
              </w:rPr>
            </w:pPr>
          </w:p>
        </w:tc>
        <w:tc>
          <w:tcPr>
            <w:tcW w:w="1501" w:type="dxa"/>
            <w:tcBorders>
              <w:top w:val="nil"/>
              <w:left w:val="nil"/>
              <w:bottom w:val="nil"/>
              <w:right w:val="nil"/>
            </w:tcBorders>
            <w:shd w:val="clear" w:color="auto" w:fill="auto"/>
            <w:noWrap/>
            <w:vAlign w:val="center"/>
            <w:hideMark/>
          </w:tcPr>
          <w:p w14:paraId="5F7D5FB5" w14:textId="77777777" w:rsidR="00543335" w:rsidRDefault="00543335" w:rsidP="004D2E48">
            <w:pPr>
              <w:rPr>
                <w:sz w:val="20"/>
                <w:szCs w:val="20"/>
              </w:rPr>
            </w:pPr>
          </w:p>
        </w:tc>
        <w:tc>
          <w:tcPr>
            <w:tcW w:w="839" w:type="dxa"/>
            <w:tcBorders>
              <w:top w:val="nil"/>
              <w:left w:val="nil"/>
              <w:bottom w:val="nil"/>
              <w:right w:val="nil"/>
            </w:tcBorders>
            <w:shd w:val="clear" w:color="auto" w:fill="auto"/>
            <w:noWrap/>
            <w:vAlign w:val="center"/>
            <w:hideMark/>
          </w:tcPr>
          <w:p w14:paraId="67CD8B5A" w14:textId="77777777" w:rsidR="00543335" w:rsidRDefault="00543335" w:rsidP="004D2E48">
            <w:pPr>
              <w:jc w:val="right"/>
              <w:rPr>
                <w:sz w:val="20"/>
                <w:szCs w:val="20"/>
              </w:rPr>
            </w:pPr>
          </w:p>
        </w:tc>
        <w:tc>
          <w:tcPr>
            <w:tcW w:w="1391" w:type="dxa"/>
            <w:tcBorders>
              <w:top w:val="nil"/>
              <w:left w:val="nil"/>
              <w:bottom w:val="nil"/>
              <w:right w:val="nil"/>
            </w:tcBorders>
            <w:shd w:val="clear" w:color="auto" w:fill="auto"/>
            <w:noWrap/>
            <w:vAlign w:val="center"/>
            <w:hideMark/>
          </w:tcPr>
          <w:p w14:paraId="5367EB6A" w14:textId="77777777" w:rsidR="00543335" w:rsidRDefault="00543335" w:rsidP="004D2E48">
            <w:pPr>
              <w:jc w:val="right"/>
              <w:rPr>
                <w:sz w:val="20"/>
                <w:szCs w:val="20"/>
              </w:rPr>
            </w:pPr>
          </w:p>
        </w:tc>
      </w:tr>
      <w:tr w:rsidR="00543335" w14:paraId="2E4E5FBA" w14:textId="77777777" w:rsidTr="004D2E48">
        <w:trPr>
          <w:trHeight w:val="300"/>
        </w:trPr>
        <w:tc>
          <w:tcPr>
            <w:tcW w:w="3640" w:type="dxa"/>
            <w:tcBorders>
              <w:top w:val="nil"/>
              <w:left w:val="nil"/>
              <w:bottom w:val="nil"/>
              <w:right w:val="nil"/>
            </w:tcBorders>
            <w:shd w:val="clear" w:color="auto" w:fill="auto"/>
            <w:noWrap/>
            <w:vAlign w:val="center"/>
            <w:hideMark/>
          </w:tcPr>
          <w:p w14:paraId="41892284" w14:textId="77777777" w:rsidR="00543335" w:rsidRDefault="00543335" w:rsidP="004D2E48">
            <w:pPr>
              <w:rPr>
                <w:rFonts w:ascii="Arial" w:hAnsi="Arial" w:cs="Arial"/>
                <w:color w:val="000000"/>
                <w:sz w:val="20"/>
                <w:szCs w:val="20"/>
              </w:rPr>
            </w:pPr>
            <w:r>
              <w:rPr>
                <w:rFonts w:ascii="Arial" w:hAnsi="Arial" w:cs="Arial"/>
                <w:color w:val="000000"/>
                <w:sz w:val="20"/>
                <w:szCs w:val="20"/>
              </w:rPr>
              <w:t>Total credit risk weighted exposures (A)</w:t>
            </w:r>
          </w:p>
        </w:tc>
        <w:tc>
          <w:tcPr>
            <w:tcW w:w="1501" w:type="dxa"/>
            <w:tcBorders>
              <w:top w:val="nil"/>
              <w:left w:val="nil"/>
              <w:bottom w:val="nil"/>
              <w:right w:val="nil"/>
            </w:tcBorders>
            <w:shd w:val="clear" w:color="auto" w:fill="auto"/>
            <w:noWrap/>
            <w:vAlign w:val="center"/>
            <w:hideMark/>
          </w:tcPr>
          <w:p w14:paraId="44FDEA7C" w14:textId="77777777" w:rsidR="00543335" w:rsidRDefault="00543335" w:rsidP="004D2E48">
            <w:pPr>
              <w:rPr>
                <w:rFonts w:ascii="Arial" w:hAnsi="Arial" w:cs="Arial"/>
                <w:color w:val="000000"/>
                <w:sz w:val="20"/>
                <w:szCs w:val="20"/>
              </w:rPr>
            </w:pPr>
          </w:p>
        </w:tc>
        <w:tc>
          <w:tcPr>
            <w:tcW w:w="839" w:type="dxa"/>
            <w:tcBorders>
              <w:top w:val="nil"/>
              <w:left w:val="nil"/>
              <w:bottom w:val="nil"/>
              <w:right w:val="nil"/>
            </w:tcBorders>
            <w:shd w:val="clear" w:color="auto" w:fill="auto"/>
            <w:noWrap/>
            <w:vAlign w:val="center"/>
            <w:hideMark/>
          </w:tcPr>
          <w:p w14:paraId="5C196A4A" w14:textId="77777777" w:rsidR="00543335" w:rsidRDefault="00543335" w:rsidP="004D2E48">
            <w:pPr>
              <w:rPr>
                <w:sz w:val="20"/>
                <w:szCs w:val="20"/>
              </w:rPr>
            </w:pPr>
          </w:p>
        </w:tc>
        <w:tc>
          <w:tcPr>
            <w:tcW w:w="1391" w:type="dxa"/>
            <w:tcBorders>
              <w:top w:val="nil"/>
              <w:left w:val="nil"/>
              <w:bottom w:val="nil"/>
              <w:right w:val="nil"/>
            </w:tcBorders>
            <w:shd w:val="clear" w:color="auto" w:fill="auto"/>
            <w:noWrap/>
            <w:vAlign w:val="center"/>
            <w:hideMark/>
          </w:tcPr>
          <w:p w14:paraId="560F9184"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28,435,578</w:t>
            </w:r>
          </w:p>
        </w:tc>
      </w:tr>
      <w:tr w:rsidR="00543335" w14:paraId="40F90BCB" w14:textId="77777777" w:rsidTr="004D2E48">
        <w:trPr>
          <w:trHeight w:val="300"/>
        </w:trPr>
        <w:tc>
          <w:tcPr>
            <w:tcW w:w="3640" w:type="dxa"/>
            <w:tcBorders>
              <w:top w:val="nil"/>
              <w:left w:val="nil"/>
              <w:bottom w:val="nil"/>
              <w:right w:val="nil"/>
            </w:tcBorders>
            <w:shd w:val="clear" w:color="auto" w:fill="auto"/>
            <w:noWrap/>
            <w:vAlign w:val="center"/>
            <w:hideMark/>
          </w:tcPr>
          <w:p w14:paraId="0FBB3632" w14:textId="77777777" w:rsidR="00543335" w:rsidRDefault="00543335" w:rsidP="004D2E48">
            <w:pPr>
              <w:jc w:val="right"/>
              <w:rPr>
                <w:rFonts w:ascii="Arial" w:hAnsi="Arial" w:cs="Arial"/>
                <w:color w:val="000000"/>
                <w:sz w:val="20"/>
                <w:szCs w:val="20"/>
              </w:rPr>
            </w:pPr>
          </w:p>
        </w:tc>
        <w:tc>
          <w:tcPr>
            <w:tcW w:w="1501" w:type="dxa"/>
            <w:tcBorders>
              <w:top w:val="nil"/>
              <w:left w:val="nil"/>
              <w:bottom w:val="nil"/>
              <w:right w:val="nil"/>
            </w:tcBorders>
            <w:shd w:val="clear" w:color="auto" w:fill="auto"/>
            <w:noWrap/>
            <w:vAlign w:val="center"/>
            <w:hideMark/>
          </w:tcPr>
          <w:p w14:paraId="1C1AC48E" w14:textId="77777777" w:rsidR="00543335" w:rsidRDefault="00543335" w:rsidP="004D2E48">
            <w:pPr>
              <w:rPr>
                <w:sz w:val="20"/>
                <w:szCs w:val="20"/>
              </w:rPr>
            </w:pPr>
          </w:p>
        </w:tc>
        <w:tc>
          <w:tcPr>
            <w:tcW w:w="839" w:type="dxa"/>
            <w:tcBorders>
              <w:top w:val="nil"/>
              <w:left w:val="nil"/>
              <w:bottom w:val="nil"/>
              <w:right w:val="nil"/>
            </w:tcBorders>
            <w:shd w:val="clear" w:color="auto" w:fill="auto"/>
            <w:noWrap/>
            <w:vAlign w:val="center"/>
            <w:hideMark/>
          </w:tcPr>
          <w:p w14:paraId="49F32B64" w14:textId="77777777" w:rsidR="00543335" w:rsidRDefault="00543335" w:rsidP="004D2E48">
            <w:pPr>
              <w:rPr>
                <w:sz w:val="20"/>
                <w:szCs w:val="20"/>
              </w:rPr>
            </w:pPr>
          </w:p>
        </w:tc>
        <w:tc>
          <w:tcPr>
            <w:tcW w:w="1391" w:type="dxa"/>
            <w:tcBorders>
              <w:top w:val="nil"/>
              <w:left w:val="nil"/>
              <w:bottom w:val="nil"/>
              <w:right w:val="nil"/>
            </w:tcBorders>
            <w:shd w:val="clear" w:color="auto" w:fill="auto"/>
            <w:noWrap/>
            <w:vAlign w:val="center"/>
            <w:hideMark/>
          </w:tcPr>
          <w:p w14:paraId="10D470D3" w14:textId="77777777" w:rsidR="00543335" w:rsidRDefault="00543335" w:rsidP="004D2E48">
            <w:pPr>
              <w:rPr>
                <w:sz w:val="20"/>
                <w:szCs w:val="20"/>
              </w:rPr>
            </w:pPr>
          </w:p>
        </w:tc>
      </w:tr>
      <w:tr w:rsidR="00543335" w14:paraId="306BC05C" w14:textId="77777777" w:rsidTr="004D2E48">
        <w:trPr>
          <w:trHeight w:val="300"/>
        </w:trPr>
        <w:tc>
          <w:tcPr>
            <w:tcW w:w="3640" w:type="dxa"/>
            <w:tcBorders>
              <w:top w:val="nil"/>
              <w:left w:val="nil"/>
              <w:bottom w:val="nil"/>
              <w:right w:val="nil"/>
            </w:tcBorders>
            <w:shd w:val="clear" w:color="auto" w:fill="auto"/>
            <w:noWrap/>
            <w:vAlign w:val="center"/>
            <w:hideMark/>
          </w:tcPr>
          <w:p w14:paraId="2D464CFB" w14:textId="77777777" w:rsidR="00543335" w:rsidRDefault="00543335" w:rsidP="004D2E48">
            <w:pPr>
              <w:rPr>
                <w:rFonts w:ascii="Arial" w:hAnsi="Arial" w:cs="Arial"/>
                <w:color w:val="000000"/>
                <w:sz w:val="20"/>
                <w:szCs w:val="20"/>
              </w:rPr>
            </w:pPr>
            <w:r>
              <w:rPr>
                <w:rFonts w:ascii="Arial" w:hAnsi="Arial" w:cs="Arial"/>
                <w:color w:val="000000"/>
                <w:sz w:val="20"/>
                <w:szCs w:val="20"/>
              </w:rPr>
              <w:t>Total assets (B)</w:t>
            </w:r>
          </w:p>
        </w:tc>
        <w:tc>
          <w:tcPr>
            <w:tcW w:w="1501" w:type="dxa"/>
            <w:tcBorders>
              <w:top w:val="nil"/>
              <w:left w:val="nil"/>
              <w:bottom w:val="nil"/>
              <w:right w:val="nil"/>
            </w:tcBorders>
            <w:shd w:val="clear" w:color="auto" w:fill="auto"/>
            <w:noWrap/>
            <w:vAlign w:val="center"/>
            <w:hideMark/>
          </w:tcPr>
          <w:p w14:paraId="7D03F1AD"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64,512,505</w:t>
            </w:r>
          </w:p>
        </w:tc>
        <w:tc>
          <w:tcPr>
            <w:tcW w:w="839" w:type="dxa"/>
            <w:tcBorders>
              <w:top w:val="nil"/>
              <w:left w:val="nil"/>
              <w:bottom w:val="nil"/>
              <w:right w:val="nil"/>
            </w:tcBorders>
            <w:shd w:val="clear" w:color="auto" w:fill="auto"/>
            <w:noWrap/>
            <w:vAlign w:val="center"/>
            <w:hideMark/>
          </w:tcPr>
          <w:p w14:paraId="1B5B7867" w14:textId="77777777" w:rsidR="00543335" w:rsidRDefault="00543335" w:rsidP="004D2E48">
            <w:pPr>
              <w:jc w:val="right"/>
              <w:rPr>
                <w:rFonts w:ascii="Arial" w:hAnsi="Arial" w:cs="Arial"/>
                <w:color w:val="000000"/>
                <w:sz w:val="20"/>
                <w:szCs w:val="20"/>
              </w:rPr>
            </w:pPr>
          </w:p>
        </w:tc>
        <w:tc>
          <w:tcPr>
            <w:tcW w:w="1391" w:type="dxa"/>
            <w:tcBorders>
              <w:top w:val="nil"/>
              <w:left w:val="nil"/>
              <w:bottom w:val="nil"/>
              <w:right w:val="nil"/>
            </w:tcBorders>
            <w:shd w:val="clear" w:color="auto" w:fill="auto"/>
            <w:noWrap/>
            <w:vAlign w:val="center"/>
            <w:hideMark/>
          </w:tcPr>
          <w:p w14:paraId="1F26D951" w14:textId="77777777" w:rsidR="00543335" w:rsidRDefault="00543335" w:rsidP="004D2E48">
            <w:pPr>
              <w:rPr>
                <w:sz w:val="20"/>
                <w:szCs w:val="20"/>
              </w:rPr>
            </w:pPr>
          </w:p>
        </w:tc>
      </w:tr>
      <w:tr w:rsidR="00543335" w14:paraId="76571751" w14:textId="77777777" w:rsidTr="004D2E48">
        <w:trPr>
          <w:trHeight w:val="300"/>
        </w:trPr>
        <w:tc>
          <w:tcPr>
            <w:tcW w:w="3640" w:type="dxa"/>
            <w:tcBorders>
              <w:top w:val="nil"/>
              <w:left w:val="nil"/>
              <w:bottom w:val="nil"/>
              <w:right w:val="nil"/>
            </w:tcBorders>
            <w:shd w:val="clear" w:color="auto" w:fill="auto"/>
            <w:noWrap/>
            <w:vAlign w:val="center"/>
            <w:hideMark/>
          </w:tcPr>
          <w:p w14:paraId="30BF4B49" w14:textId="77777777" w:rsidR="00543335" w:rsidRDefault="00543335" w:rsidP="004D2E48">
            <w:pPr>
              <w:rPr>
                <w:rFonts w:ascii="Arial" w:hAnsi="Arial" w:cs="Arial"/>
                <w:color w:val="000000"/>
                <w:sz w:val="20"/>
                <w:szCs w:val="20"/>
              </w:rPr>
            </w:pPr>
            <w:r>
              <w:rPr>
                <w:rFonts w:ascii="Arial" w:hAnsi="Arial" w:cs="Arial"/>
                <w:color w:val="000000"/>
                <w:sz w:val="20"/>
                <w:szCs w:val="20"/>
              </w:rPr>
              <w:t>Operational and Market Exposures</w:t>
            </w:r>
          </w:p>
        </w:tc>
        <w:tc>
          <w:tcPr>
            <w:tcW w:w="1501" w:type="dxa"/>
            <w:tcBorders>
              <w:top w:val="nil"/>
              <w:left w:val="nil"/>
              <w:bottom w:val="nil"/>
              <w:right w:val="nil"/>
            </w:tcBorders>
            <w:shd w:val="clear" w:color="auto" w:fill="auto"/>
            <w:noWrap/>
            <w:vAlign w:val="center"/>
            <w:hideMark/>
          </w:tcPr>
          <w:p w14:paraId="35B7FC66" w14:textId="77777777" w:rsidR="00543335" w:rsidRDefault="00543335" w:rsidP="004D2E48">
            <w:pPr>
              <w:rPr>
                <w:rFonts w:ascii="Arial" w:hAnsi="Arial" w:cs="Arial"/>
                <w:color w:val="000000"/>
                <w:sz w:val="20"/>
                <w:szCs w:val="20"/>
              </w:rPr>
            </w:pPr>
            <w:r>
              <w:rPr>
                <w:rFonts w:ascii="Arial" w:hAnsi="Arial" w:cs="Arial"/>
                <w:color w:val="000000"/>
                <w:sz w:val="20"/>
                <w:szCs w:val="20"/>
              </w:rPr>
              <w:t>(A+B)/2x0.175</w:t>
            </w:r>
          </w:p>
        </w:tc>
        <w:tc>
          <w:tcPr>
            <w:tcW w:w="839" w:type="dxa"/>
            <w:tcBorders>
              <w:top w:val="nil"/>
              <w:left w:val="nil"/>
              <w:bottom w:val="nil"/>
              <w:right w:val="nil"/>
            </w:tcBorders>
            <w:shd w:val="clear" w:color="auto" w:fill="auto"/>
            <w:noWrap/>
            <w:vAlign w:val="center"/>
            <w:hideMark/>
          </w:tcPr>
          <w:p w14:paraId="6E5A9677" w14:textId="77777777" w:rsidR="00543335" w:rsidRDefault="00543335" w:rsidP="004D2E48">
            <w:pPr>
              <w:rPr>
                <w:rFonts w:ascii="Arial" w:hAnsi="Arial" w:cs="Arial"/>
                <w:color w:val="000000"/>
                <w:sz w:val="20"/>
                <w:szCs w:val="20"/>
              </w:rPr>
            </w:pPr>
          </w:p>
        </w:tc>
        <w:tc>
          <w:tcPr>
            <w:tcW w:w="1391" w:type="dxa"/>
            <w:tcBorders>
              <w:top w:val="nil"/>
              <w:left w:val="nil"/>
              <w:bottom w:val="nil"/>
              <w:right w:val="nil"/>
            </w:tcBorders>
            <w:shd w:val="clear" w:color="auto" w:fill="auto"/>
            <w:noWrap/>
            <w:vAlign w:val="center"/>
            <w:hideMark/>
          </w:tcPr>
          <w:p w14:paraId="244B4307"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8,132,957</w:t>
            </w:r>
          </w:p>
        </w:tc>
      </w:tr>
      <w:tr w:rsidR="00543335" w14:paraId="737B9CBD" w14:textId="77777777" w:rsidTr="004D2E48">
        <w:trPr>
          <w:trHeight w:val="315"/>
        </w:trPr>
        <w:tc>
          <w:tcPr>
            <w:tcW w:w="3640" w:type="dxa"/>
            <w:tcBorders>
              <w:top w:val="nil"/>
              <w:left w:val="nil"/>
              <w:bottom w:val="nil"/>
              <w:right w:val="nil"/>
            </w:tcBorders>
            <w:shd w:val="clear" w:color="auto" w:fill="auto"/>
            <w:noWrap/>
            <w:vAlign w:val="center"/>
            <w:hideMark/>
          </w:tcPr>
          <w:p w14:paraId="06266BFA" w14:textId="77777777" w:rsidR="00543335" w:rsidRDefault="00543335" w:rsidP="004D2E48">
            <w:pPr>
              <w:jc w:val="right"/>
              <w:rPr>
                <w:rFonts w:ascii="Arial" w:hAnsi="Arial" w:cs="Arial"/>
                <w:color w:val="000000"/>
                <w:sz w:val="20"/>
                <w:szCs w:val="20"/>
              </w:rPr>
            </w:pPr>
          </w:p>
        </w:tc>
        <w:tc>
          <w:tcPr>
            <w:tcW w:w="1501" w:type="dxa"/>
            <w:tcBorders>
              <w:top w:val="nil"/>
              <w:left w:val="nil"/>
              <w:bottom w:val="nil"/>
              <w:right w:val="nil"/>
            </w:tcBorders>
            <w:shd w:val="clear" w:color="auto" w:fill="auto"/>
            <w:noWrap/>
            <w:vAlign w:val="center"/>
            <w:hideMark/>
          </w:tcPr>
          <w:p w14:paraId="0B08F884" w14:textId="77777777" w:rsidR="00543335" w:rsidRDefault="00543335" w:rsidP="004D2E48">
            <w:pPr>
              <w:rPr>
                <w:sz w:val="20"/>
                <w:szCs w:val="20"/>
              </w:rPr>
            </w:pPr>
          </w:p>
        </w:tc>
        <w:tc>
          <w:tcPr>
            <w:tcW w:w="839" w:type="dxa"/>
            <w:tcBorders>
              <w:top w:val="nil"/>
              <w:left w:val="nil"/>
              <w:bottom w:val="nil"/>
              <w:right w:val="nil"/>
            </w:tcBorders>
            <w:shd w:val="clear" w:color="auto" w:fill="auto"/>
            <w:noWrap/>
            <w:vAlign w:val="center"/>
            <w:hideMark/>
          </w:tcPr>
          <w:p w14:paraId="7232973F" w14:textId="77777777" w:rsidR="00543335" w:rsidRDefault="00543335" w:rsidP="004D2E48">
            <w:pPr>
              <w:rPr>
                <w:sz w:val="20"/>
                <w:szCs w:val="20"/>
              </w:rPr>
            </w:pPr>
          </w:p>
        </w:tc>
        <w:tc>
          <w:tcPr>
            <w:tcW w:w="1391" w:type="dxa"/>
            <w:tcBorders>
              <w:top w:val="nil"/>
              <w:left w:val="nil"/>
              <w:bottom w:val="single" w:sz="8" w:space="0" w:color="auto"/>
              <w:right w:val="nil"/>
            </w:tcBorders>
            <w:shd w:val="clear" w:color="auto" w:fill="auto"/>
            <w:noWrap/>
            <w:vAlign w:val="center"/>
            <w:hideMark/>
          </w:tcPr>
          <w:p w14:paraId="19E14E0A"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w:t>
            </w:r>
          </w:p>
        </w:tc>
      </w:tr>
      <w:tr w:rsidR="00543335" w14:paraId="651AED69" w14:textId="77777777" w:rsidTr="004D2E48">
        <w:trPr>
          <w:trHeight w:val="300"/>
        </w:trPr>
        <w:tc>
          <w:tcPr>
            <w:tcW w:w="3640" w:type="dxa"/>
            <w:tcBorders>
              <w:top w:val="nil"/>
              <w:left w:val="nil"/>
              <w:bottom w:val="nil"/>
              <w:right w:val="nil"/>
            </w:tcBorders>
            <w:shd w:val="clear" w:color="auto" w:fill="auto"/>
            <w:noWrap/>
            <w:vAlign w:val="center"/>
            <w:hideMark/>
          </w:tcPr>
          <w:p w14:paraId="6838E6F5" w14:textId="77777777" w:rsidR="00543335" w:rsidRDefault="00543335" w:rsidP="004D2E48">
            <w:pPr>
              <w:rPr>
                <w:rFonts w:ascii="Arial" w:hAnsi="Arial" w:cs="Arial"/>
                <w:color w:val="000000"/>
                <w:sz w:val="20"/>
                <w:szCs w:val="20"/>
              </w:rPr>
            </w:pPr>
            <w:r>
              <w:rPr>
                <w:rFonts w:ascii="Arial" w:hAnsi="Arial" w:cs="Arial"/>
                <w:color w:val="000000"/>
                <w:sz w:val="20"/>
                <w:szCs w:val="20"/>
              </w:rPr>
              <w:t>Total Exposures</w:t>
            </w:r>
          </w:p>
        </w:tc>
        <w:tc>
          <w:tcPr>
            <w:tcW w:w="1501" w:type="dxa"/>
            <w:tcBorders>
              <w:top w:val="nil"/>
              <w:left w:val="nil"/>
              <w:bottom w:val="nil"/>
              <w:right w:val="nil"/>
            </w:tcBorders>
            <w:shd w:val="clear" w:color="auto" w:fill="auto"/>
            <w:noWrap/>
            <w:vAlign w:val="center"/>
            <w:hideMark/>
          </w:tcPr>
          <w:p w14:paraId="6A013F36" w14:textId="77777777" w:rsidR="00543335" w:rsidRDefault="00543335" w:rsidP="004D2E48">
            <w:pPr>
              <w:rPr>
                <w:rFonts w:ascii="Arial" w:hAnsi="Arial" w:cs="Arial"/>
                <w:color w:val="000000"/>
                <w:sz w:val="20"/>
                <w:szCs w:val="20"/>
              </w:rPr>
            </w:pPr>
          </w:p>
        </w:tc>
        <w:tc>
          <w:tcPr>
            <w:tcW w:w="839" w:type="dxa"/>
            <w:tcBorders>
              <w:top w:val="nil"/>
              <w:left w:val="nil"/>
              <w:bottom w:val="nil"/>
              <w:right w:val="nil"/>
            </w:tcBorders>
            <w:shd w:val="clear" w:color="auto" w:fill="auto"/>
            <w:noWrap/>
            <w:vAlign w:val="center"/>
            <w:hideMark/>
          </w:tcPr>
          <w:p w14:paraId="4CE2DE45" w14:textId="77777777" w:rsidR="00543335" w:rsidRDefault="00543335" w:rsidP="004D2E48">
            <w:pPr>
              <w:rPr>
                <w:sz w:val="20"/>
                <w:szCs w:val="20"/>
              </w:rPr>
            </w:pPr>
          </w:p>
        </w:tc>
        <w:tc>
          <w:tcPr>
            <w:tcW w:w="1391" w:type="dxa"/>
            <w:tcBorders>
              <w:top w:val="nil"/>
              <w:left w:val="nil"/>
              <w:bottom w:val="nil"/>
              <w:right w:val="nil"/>
            </w:tcBorders>
            <w:shd w:val="clear" w:color="auto" w:fill="auto"/>
            <w:noWrap/>
            <w:vAlign w:val="center"/>
            <w:hideMark/>
          </w:tcPr>
          <w:p w14:paraId="3675ED3C"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36,568,535</w:t>
            </w:r>
          </w:p>
        </w:tc>
      </w:tr>
      <w:tr w:rsidR="00543335" w14:paraId="08A132EF" w14:textId="77777777" w:rsidTr="004D2E48">
        <w:trPr>
          <w:trHeight w:val="300"/>
        </w:trPr>
        <w:tc>
          <w:tcPr>
            <w:tcW w:w="3640" w:type="dxa"/>
            <w:tcBorders>
              <w:top w:val="nil"/>
              <w:left w:val="nil"/>
              <w:bottom w:val="nil"/>
              <w:right w:val="nil"/>
            </w:tcBorders>
            <w:shd w:val="clear" w:color="auto" w:fill="auto"/>
            <w:noWrap/>
            <w:vAlign w:val="center"/>
            <w:hideMark/>
          </w:tcPr>
          <w:p w14:paraId="5512D472" w14:textId="77777777" w:rsidR="00543335" w:rsidRDefault="00543335" w:rsidP="004D2E48">
            <w:pPr>
              <w:jc w:val="right"/>
              <w:rPr>
                <w:rFonts w:ascii="Arial" w:hAnsi="Arial" w:cs="Arial"/>
                <w:color w:val="000000"/>
                <w:sz w:val="20"/>
                <w:szCs w:val="20"/>
              </w:rPr>
            </w:pPr>
          </w:p>
        </w:tc>
        <w:tc>
          <w:tcPr>
            <w:tcW w:w="1501" w:type="dxa"/>
            <w:tcBorders>
              <w:top w:val="nil"/>
              <w:left w:val="nil"/>
              <w:bottom w:val="nil"/>
              <w:right w:val="nil"/>
            </w:tcBorders>
            <w:shd w:val="clear" w:color="auto" w:fill="auto"/>
            <w:noWrap/>
            <w:vAlign w:val="center"/>
            <w:hideMark/>
          </w:tcPr>
          <w:p w14:paraId="4E6D0A8E" w14:textId="77777777" w:rsidR="00543335" w:rsidRDefault="00543335" w:rsidP="004D2E48">
            <w:pPr>
              <w:rPr>
                <w:sz w:val="20"/>
                <w:szCs w:val="20"/>
              </w:rPr>
            </w:pPr>
          </w:p>
        </w:tc>
        <w:tc>
          <w:tcPr>
            <w:tcW w:w="839" w:type="dxa"/>
            <w:tcBorders>
              <w:top w:val="nil"/>
              <w:left w:val="nil"/>
              <w:bottom w:val="nil"/>
              <w:right w:val="nil"/>
            </w:tcBorders>
            <w:shd w:val="clear" w:color="auto" w:fill="auto"/>
            <w:noWrap/>
            <w:vAlign w:val="center"/>
            <w:hideMark/>
          </w:tcPr>
          <w:p w14:paraId="483ACE11" w14:textId="77777777" w:rsidR="00543335" w:rsidRDefault="00543335" w:rsidP="004D2E48">
            <w:pPr>
              <w:rPr>
                <w:sz w:val="20"/>
                <w:szCs w:val="20"/>
              </w:rPr>
            </w:pPr>
          </w:p>
        </w:tc>
        <w:tc>
          <w:tcPr>
            <w:tcW w:w="1391" w:type="dxa"/>
            <w:tcBorders>
              <w:top w:val="nil"/>
              <w:left w:val="nil"/>
              <w:bottom w:val="nil"/>
              <w:right w:val="nil"/>
            </w:tcBorders>
            <w:shd w:val="clear" w:color="auto" w:fill="auto"/>
            <w:noWrap/>
            <w:vAlign w:val="center"/>
            <w:hideMark/>
          </w:tcPr>
          <w:p w14:paraId="13002BE9" w14:textId="77777777" w:rsidR="00543335" w:rsidRDefault="00543335" w:rsidP="004D2E48">
            <w:pPr>
              <w:rPr>
                <w:sz w:val="20"/>
                <w:szCs w:val="20"/>
              </w:rPr>
            </w:pPr>
          </w:p>
        </w:tc>
      </w:tr>
      <w:tr w:rsidR="00543335" w14:paraId="3742C36E" w14:textId="77777777" w:rsidTr="004D2E48">
        <w:trPr>
          <w:trHeight w:val="300"/>
        </w:trPr>
        <w:tc>
          <w:tcPr>
            <w:tcW w:w="3640" w:type="dxa"/>
            <w:tcBorders>
              <w:top w:val="nil"/>
              <w:left w:val="nil"/>
              <w:bottom w:val="nil"/>
              <w:right w:val="nil"/>
            </w:tcBorders>
            <w:shd w:val="clear" w:color="auto" w:fill="auto"/>
            <w:noWrap/>
            <w:vAlign w:val="center"/>
            <w:hideMark/>
          </w:tcPr>
          <w:p w14:paraId="2B2BB186" w14:textId="77777777" w:rsidR="00543335" w:rsidRDefault="00543335" w:rsidP="004D2E48">
            <w:pPr>
              <w:rPr>
                <w:rFonts w:ascii="Arial" w:hAnsi="Arial" w:cs="Arial"/>
                <w:b/>
                <w:bCs/>
                <w:color w:val="000000"/>
                <w:sz w:val="20"/>
                <w:szCs w:val="20"/>
              </w:rPr>
            </w:pPr>
            <w:r>
              <w:rPr>
                <w:rFonts w:ascii="Arial" w:hAnsi="Arial" w:cs="Arial"/>
                <w:b/>
                <w:bCs/>
                <w:color w:val="000000"/>
                <w:sz w:val="20"/>
                <w:szCs w:val="20"/>
              </w:rPr>
              <w:t xml:space="preserve">Capital Ratio </w:t>
            </w:r>
            <w:proofErr w:type="gramStart"/>
            <w:r>
              <w:rPr>
                <w:rFonts w:ascii="Arial" w:hAnsi="Arial" w:cs="Arial"/>
                <w:b/>
                <w:bCs/>
                <w:color w:val="000000"/>
                <w:sz w:val="20"/>
                <w:szCs w:val="20"/>
              </w:rPr>
              <w:t>at</w:t>
            </w:r>
            <w:proofErr w:type="gramEnd"/>
            <w:r>
              <w:rPr>
                <w:rFonts w:ascii="Arial" w:hAnsi="Arial" w:cs="Arial"/>
                <w:b/>
                <w:bCs/>
                <w:color w:val="000000"/>
                <w:sz w:val="20"/>
                <w:szCs w:val="20"/>
              </w:rPr>
              <w:t xml:space="preserve"> 31 March 2021</w:t>
            </w:r>
          </w:p>
        </w:tc>
        <w:tc>
          <w:tcPr>
            <w:tcW w:w="1501" w:type="dxa"/>
            <w:vMerge w:val="restart"/>
            <w:tcBorders>
              <w:top w:val="nil"/>
              <w:left w:val="nil"/>
              <w:bottom w:val="nil"/>
              <w:right w:val="nil"/>
            </w:tcBorders>
            <w:shd w:val="clear" w:color="auto" w:fill="auto"/>
            <w:noWrap/>
            <w:vAlign w:val="center"/>
            <w:hideMark/>
          </w:tcPr>
          <w:p w14:paraId="46462C15" w14:textId="77777777" w:rsidR="00543335" w:rsidRDefault="00543335" w:rsidP="004D2E48">
            <w:pPr>
              <w:rPr>
                <w:rFonts w:ascii="Arial" w:hAnsi="Arial" w:cs="Arial"/>
                <w:b/>
                <w:bCs/>
                <w:color w:val="000000"/>
                <w:sz w:val="20"/>
                <w:szCs w:val="20"/>
              </w:rPr>
            </w:pPr>
          </w:p>
        </w:tc>
        <w:tc>
          <w:tcPr>
            <w:tcW w:w="839" w:type="dxa"/>
            <w:vMerge w:val="restart"/>
            <w:tcBorders>
              <w:top w:val="nil"/>
              <w:left w:val="nil"/>
              <w:bottom w:val="nil"/>
              <w:right w:val="nil"/>
            </w:tcBorders>
            <w:shd w:val="clear" w:color="auto" w:fill="auto"/>
            <w:noWrap/>
            <w:vAlign w:val="center"/>
            <w:hideMark/>
          </w:tcPr>
          <w:p w14:paraId="0D1609A2" w14:textId="77777777" w:rsidR="00543335" w:rsidRDefault="00543335" w:rsidP="004D2E48">
            <w:pPr>
              <w:rPr>
                <w:sz w:val="20"/>
                <w:szCs w:val="20"/>
              </w:rPr>
            </w:pPr>
          </w:p>
        </w:tc>
        <w:tc>
          <w:tcPr>
            <w:tcW w:w="1391" w:type="dxa"/>
            <w:vMerge w:val="restart"/>
            <w:tcBorders>
              <w:top w:val="nil"/>
              <w:left w:val="nil"/>
              <w:bottom w:val="nil"/>
              <w:right w:val="nil"/>
            </w:tcBorders>
            <w:shd w:val="clear" w:color="auto" w:fill="auto"/>
            <w:noWrap/>
            <w:vAlign w:val="center"/>
            <w:hideMark/>
          </w:tcPr>
          <w:p w14:paraId="217C43D3" w14:textId="77777777" w:rsidR="00543335" w:rsidRDefault="00543335" w:rsidP="004D2E48">
            <w:pPr>
              <w:jc w:val="right"/>
              <w:rPr>
                <w:rFonts w:ascii="Arial" w:hAnsi="Arial" w:cs="Arial"/>
                <w:b/>
                <w:bCs/>
                <w:color w:val="000000"/>
                <w:sz w:val="20"/>
                <w:szCs w:val="20"/>
              </w:rPr>
            </w:pPr>
            <w:r>
              <w:rPr>
                <w:rFonts w:ascii="Arial" w:hAnsi="Arial" w:cs="Arial"/>
                <w:b/>
                <w:bCs/>
                <w:color w:val="000000"/>
                <w:sz w:val="20"/>
                <w:szCs w:val="20"/>
              </w:rPr>
              <w:t>16%</w:t>
            </w:r>
          </w:p>
        </w:tc>
      </w:tr>
      <w:tr w:rsidR="00543335" w14:paraId="13ED60AA" w14:textId="77777777" w:rsidTr="004D2E48">
        <w:trPr>
          <w:trHeight w:val="300"/>
        </w:trPr>
        <w:tc>
          <w:tcPr>
            <w:tcW w:w="3640" w:type="dxa"/>
            <w:tcBorders>
              <w:top w:val="nil"/>
              <w:left w:val="nil"/>
              <w:bottom w:val="nil"/>
              <w:right w:val="nil"/>
            </w:tcBorders>
            <w:shd w:val="clear" w:color="auto" w:fill="auto"/>
            <w:noWrap/>
            <w:vAlign w:val="center"/>
            <w:hideMark/>
          </w:tcPr>
          <w:p w14:paraId="17501B45" w14:textId="77777777" w:rsidR="00543335" w:rsidRDefault="00543335" w:rsidP="004D2E48">
            <w:pPr>
              <w:rPr>
                <w:rFonts w:ascii="Arial" w:hAnsi="Arial" w:cs="Arial"/>
                <w:color w:val="000000"/>
                <w:sz w:val="20"/>
                <w:szCs w:val="20"/>
              </w:rPr>
            </w:pPr>
            <w:r>
              <w:rPr>
                <w:rFonts w:ascii="Arial" w:hAnsi="Arial" w:cs="Arial"/>
                <w:color w:val="000000"/>
                <w:sz w:val="20"/>
                <w:szCs w:val="20"/>
              </w:rPr>
              <w:t>(</w:t>
            </w:r>
            <w:proofErr w:type="gramStart"/>
            <w:r>
              <w:rPr>
                <w:rFonts w:ascii="Arial" w:hAnsi="Arial" w:cs="Arial"/>
                <w:color w:val="000000"/>
                <w:sz w:val="20"/>
                <w:szCs w:val="20"/>
              </w:rPr>
              <w:t>being</w:t>
            </w:r>
            <w:proofErr w:type="gramEnd"/>
            <w:r>
              <w:rPr>
                <w:rFonts w:ascii="Arial" w:hAnsi="Arial" w:cs="Arial"/>
                <w:color w:val="000000"/>
                <w:sz w:val="20"/>
                <w:szCs w:val="20"/>
              </w:rPr>
              <w:t xml:space="preserve"> Total Capital/Total Exposures)</w:t>
            </w:r>
          </w:p>
        </w:tc>
        <w:tc>
          <w:tcPr>
            <w:tcW w:w="1501" w:type="dxa"/>
            <w:vMerge/>
            <w:tcBorders>
              <w:top w:val="nil"/>
              <w:left w:val="nil"/>
              <w:bottom w:val="nil"/>
              <w:right w:val="nil"/>
            </w:tcBorders>
            <w:vAlign w:val="center"/>
            <w:hideMark/>
          </w:tcPr>
          <w:p w14:paraId="7732E467" w14:textId="77777777" w:rsidR="00543335" w:rsidRDefault="00543335" w:rsidP="004D2E48">
            <w:pPr>
              <w:rPr>
                <w:rFonts w:ascii="Arial" w:hAnsi="Arial" w:cs="Arial"/>
                <w:b/>
                <w:bCs/>
                <w:color w:val="000000"/>
                <w:sz w:val="20"/>
                <w:szCs w:val="20"/>
              </w:rPr>
            </w:pPr>
          </w:p>
        </w:tc>
        <w:tc>
          <w:tcPr>
            <w:tcW w:w="839" w:type="dxa"/>
            <w:vMerge/>
            <w:tcBorders>
              <w:top w:val="nil"/>
              <w:left w:val="nil"/>
              <w:bottom w:val="nil"/>
              <w:right w:val="nil"/>
            </w:tcBorders>
            <w:vAlign w:val="center"/>
            <w:hideMark/>
          </w:tcPr>
          <w:p w14:paraId="7671486A" w14:textId="77777777" w:rsidR="00543335" w:rsidRDefault="00543335" w:rsidP="004D2E48">
            <w:pPr>
              <w:rPr>
                <w:sz w:val="20"/>
                <w:szCs w:val="20"/>
              </w:rPr>
            </w:pPr>
          </w:p>
        </w:tc>
        <w:tc>
          <w:tcPr>
            <w:tcW w:w="1391" w:type="dxa"/>
            <w:vMerge/>
            <w:tcBorders>
              <w:top w:val="nil"/>
              <w:left w:val="nil"/>
              <w:bottom w:val="nil"/>
              <w:right w:val="nil"/>
            </w:tcBorders>
            <w:vAlign w:val="center"/>
            <w:hideMark/>
          </w:tcPr>
          <w:p w14:paraId="72F3F43B" w14:textId="77777777" w:rsidR="00543335" w:rsidRDefault="00543335" w:rsidP="004D2E48">
            <w:pPr>
              <w:rPr>
                <w:rFonts w:ascii="Arial" w:hAnsi="Arial" w:cs="Arial"/>
                <w:b/>
                <w:bCs/>
                <w:color w:val="000000"/>
                <w:sz w:val="20"/>
                <w:szCs w:val="20"/>
              </w:rPr>
            </w:pPr>
          </w:p>
        </w:tc>
      </w:tr>
    </w:tbl>
    <w:p w14:paraId="759C3F6B" w14:textId="77777777" w:rsidR="000346F8" w:rsidRDefault="000346F8" w:rsidP="00D500DA">
      <w:pPr>
        <w:rPr>
          <w:rFonts w:ascii="Arial" w:eastAsia="TimesNewRomanPSMT-Identity-H" w:hAnsi="Arial" w:cs="TimesNewRomanPSMT-Identity-H"/>
          <w:b/>
          <w:sz w:val="20"/>
          <w:szCs w:val="20"/>
        </w:rPr>
      </w:pPr>
    </w:p>
    <w:p w14:paraId="78895A8B" w14:textId="77777777" w:rsidR="000346F8" w:rsidRDefault="000346F8" w:rsidP="00D500DA">
      <w:pPr>
        <w:rPr>
          <w:rFonts w:ascii="Arial" w:eastAsia="TimesNewRomanPSMT-Identity-H" w:hAnsi="Arial" w:cs="TimesNewRomanPSMT-Identity-H"/>
          <w:b/>
          <w:sz w:val="20"/>
          <w:szCs w:val="20"/>
        </w:rPr>
      </w:pPr>
    </w:p>
    <w:p w14:paraId="2C72BB5E" w14:textId="77777777" w:rsidR="000346F8" w:rsidRDefault="000346F8" w:rsidP="00D500DA">
      <w:pPr>
        <w:rPr>
          <w:rFonts w:ascii="Arial" w:eastAsia="TimesNewRomanPSMT-Identity-H" w:hAnsi="Arial" w:cs="TimesNewRomanPSMT-Identity-H"/>
          <w:b/>
          <w:sz w:val="20"/>
          <w:szCs w:val="20"/>
        </w:rPr>
      </w:pPr>
    </w:p>
    <w:p w14:paraId="0DEAB784" w14:textId="77777777" w:rsidR="000346F8" w:rsidRDefault="000346F8" w:rsidP="00D500DA">
      <w:pPr>
        <w:rPr>
          <w:rFonts w:ascii="Arial" w:eastAsia="TimesNewRomanPSMT-Identity-H" w:hAnsi="Arial" w:cs="TimesNewRomanPSMT-Identity-H"/>
          <w:b/>
          <w:sz w:val="20"/>
          <w:szCs w:val="20"/>
        </w:rPr>
      </w:pPr>
    </w:p>
    <w:p w14:paraId="3F8FADDE" w14:textId="0703E8CF" w:rsidR="006A47F1" w:rsidRPr="00E93716" w:rsidRDefault="00C73485" w:rsidP="0006682A">
      <w:pPr>
        <w:rPr>
          <w:rFonts w:ascii="Arial" w:eastAsia="TimesNewRomanPSMT-Identity-H" w:hAnsi="Arial" w:cs="TimesNewRomanPSMT-Identity-H"/>
          <w:b/>
          <w:sz w:val="20"/>
          <w:szCs w:val="20"/>
        </w:rPr>
      </w:pPr>
      <w:r>
        <w:rPr>
          <w:rFonts w:ascii="Arial" w:eastAsia="TimesNewRomanPSMT-Identity-H" w:hAnsi="Arial" w:cs="TimesNewRomanPSMT-Identity-H"/>
          <w:b/>
          <w:sz w:val="20"/>
          <w:szCs w:val="20"/>
        </w:rPr>
        <w:br w:type="page"/>
      </w:r>
    </w:p>
    <w:p w14:paraId="161836FF" w14:textId="200A208E" w:rsidR="0006682A" w:rsidRPr="0037261F" w:rsidRDefault="0006682A" w:rsidP="0006682A">
      <w:pPr>
        <w:rPr>
          <w:rFonts w:ascii="Arial" w:eastAsia="TimesNewRomanPSMT-Identity-H" w:hAnsi="Arial" w:cs="TimesNewRomanPSMT-Identity-H"/>
          <w:b/>
          <w:sz w:val="20"/>
          <w:szCs w:val="20"/>
        </w:rPr>
      </w:pPr>
      <w:r w:rsidRPr="00C91C90">
        <w:rPr>
          <w:rFonts w:ascii="Arial" w:eastAsia="TimesNewRomanPSMT-Identity-H" w:hAnsi="Arial" w:cs="TimesNewRomanPSMT-Identity-H"/>
          <w:b/>
          <w:caps/>
          <w:color w:val="000080"/>
          <w:sz w:val="20"/>
          <w:szCs w:val="20"/>
        </w:rPr>
        <w:lastRenderedPageBreak/>
        <w:t>Aggregate exposure to related parties</w:t>
      </w:r>
    </w:p>
    <w:p w14:paraId="3A02A110" w14:textId="52C04205" w:rsidR="0006682A" w:rsidRDefault="0006682A" w:rsidP="0006682A">
      <w:pPr>
        <w:rPr>
          <w:rFonts w:ascii="Arial" w:eastAsia="TimesNewRomanPSMT-Identity-H" w:hAnsi="Arial" w:cs="TimesNewRomanPSMT-Identity-H"/>
          <w:sz w:val="20"/>
          <w:szCs w:val="20"/>
        </w:rPr>
      </w:pPr>
    </w:p>
    <w:p w14:paraId="34B18C77" w14:textId="77777777" w:rsidR="00D5466E" w:rsidRDefault="00D5466E" w:rsidP="0006682A">
      <w:pPr>
        <w:rPr>
          <w:rFonts w:ascii="Arial" w:eastAsia="TimesNewRomanPSMT-Identity-H" w:hAnsi="Arial" w:cs="TimesNewRomanPSMT-Identity-H"/>
          <w:sz w:val="20"/>
          <w:szCs w:val="20"/>
        </w:rPr>
      </w:pPr>
    </w:p>
    <w:tbl>
      <w:tblPr>
        <w:tblW w:w="7704" w:type="dxa"/>
        <w:tblInd w:w="93" w:type="dxa"/>
        <w:tblLook w:val="04A0" w:firstRow="1" w:lastRow="0" w:firstColumn="1" w:lastColumn="0" w:noHBand="0" w:noVBand="1"/>
      </w:tblPr>
      <w:tblGrid>
        <w:gridCol w:w="3900"/>
        <w:gridCol w:w="1252"/>
        <w:gridCol w:w="1276"/>
        <w:gridCol w:w="1276"/>
      </w:tblGrid>
      <w:tr w:rsidR="00543335" w:rsidRPr="00B84F4A" w14:paraId="0F62872C" w14:textId="333D2AAF" w:rsidTr="006A47F1">
        <w:trPr>
          <w:trHeight w:val="240"/>
        </w:trPr>
        <w:tc>
          <w:tcPr>
            <w:tcW w:w="3900" w:type="dxa"/>
            <w:tcBorders>
              <w:top w:val="nil"/>
              <w:left w:val="nil"/>
              <w:bottom w:val="nil"/>
              <w:right w:val="nil"/>
            </w:tcBorders>
            <w:shd w:val="clear" w:color="auto" w:fill="auto"/>
            <w:noWrap/>
            <w:vAlign w:val="bottom"/>
          </w:tcPr>
          <w:p w14:paraId="202EC6D2" w14:textId="77777777" w:rsidR="00543335" w:rsidRDefault="00543335" w:rsidP="00543335">
            <w:pPr>
              <w:rPr>
                <w:rFonts w:ascii="Arial" w:hAnsi="Arial" w:cs="Arial"/>
                <w:sz w:val="20"/>
                <w:szCs w:val="20"/>
              </w:rPr>
            </w:pPr>
          </w:p>
        </w:tc>
        <w:tc>
          <w:tcPr>
            <w:tcW w:w="1252" w:type="dxa"/>
            <w:tcBorders>
              <w:top w:val="nil"/>
              <w:left w:val="nil"/>
              <w:bottom w:val="nil"/>
              <w:right w:val="nil"/>
            </w:tcBorders>
            <w:shd w:val="clear" w:color="auto" w:fill="auto"/>
            <w:noWrap/>
            <w:vAlign w:val="bottom"/>
          </w:tcPr>
          <w:p w14:paraId="3D8E1904" w14:textId="47A34CA0" w:rsidR="00543335" w:rsidRPr="00134689" w:rsidRDefault="00543335" w:rsidP="00543335">
            <w:pPr>
              <w:jc w:val="right"/>
              <w:rPr>
                <w:rFonts w:ascii="Arial" w:hAnsi="Arial" w:cs="Arial"/>
                <w:b/>
                <w:bCs/>
                <w:sz w:val="20"/>
                <w:szCs w:val="20"/>
              </w:rPr>
            </w:pPr>
            <w:r w:rsidRPr="00134689">
              <w:rPr>
                <w:rFonts w:ascii="Arial" w:hAnsi="Arial" w:cs="Arial"/>
                <w:b/>
                <w:bCs/>
                <w:sz w:val="20"/>
                <w:szCs w:val="20"/>
              </w:rPr>
              <w:t>31 March</w:t>
            </w:r>
          </w:p>
        </w:tc>
        <w:tc>
          <w:tcPr>
            <w:tcW w:w="1276" w:type="dxa"/>
            <w:tcBorders>
              <w:top w:val="nil"/>
              <w:left w:val="nil"/>
              <w:bottom w:val="nil"/>
              <w:right w:val="nil"/>
            </w:tcBorders>
            <w:vAlign w:val="bottom"/>
          </w:tcPr>
          <w:p w14:paraId="73DC2C68" w14:textId="0DDDD09F" w:rsidR="00543335" w:rsidRPr="00D5466E" w:rsidRDefault="00543335" w:rsidP="00543335">
            <w:pPr>
              <w:jc w:val="right"/>
              <w:rPr>
                <w:rFonts w:ascii="Arial" w:hAnsi="Arial" w:cs="Arial"/>
                <w:b/>
                <w:bCs/>
                <w:sz w:val="20"/>
                <w:szCs w:val="20"/>
              </w:rPr>
            </w:pPr>
            <w:r w:rsidRPr="00D5466E">
              <w:rPr>
                <w:rFonts w:ascii="Arial" w:hAnsi="Arial" w:cs="Arial"/>
                <w:b/>
                <w:bCs/>
                <w:sz w:val="20"/>
                <w:szCs w:val="20"/>
              </w:rPr>
              <w:t>31 March</w:t>
            </w:r>
          </w:p>
        </w:tc>
        <w:tc>
          <w:tcPr>
            <w:tcW w:w="1276" w:type="dxa"/>
            <w:tcBorders>
              <w:top w:val="nil"/>
              <w:left w:val="nil"/>
              <w:bottom w:val="nil"/>
              <w:right w:val="nil"/>
            </w:tcBorders>
            <w:vAlign w:val="bottom"/>
          </w:tcPr>
          <w:p w14:paraId="1E1F97BD" w14:textId="394B4EC3" w:rsidR="00543335" w:rsidRPr="00D5466E" w:rsidRDefault="00543335" w:rsidP="00543335">
            <w:pPr>
              <w:jc w:val="right"/>
              <w:rPr>
                <w:rFonts w:ascii="Arial" w:hAnsi="Arial" w:cs="Arial"/>
                <w:b/>
                <w:bCs/>
                <w:sz w:val="20"/>
                <w:szCs w:val="20"/>
              </w:rPr>
            </w:pPr>
            <w:r w:rsidRPr="00D5466E">
              <w:rPr>
                <w:rFonts w:ascii="Arial" w:hAnsi="Arial" w:cs="Arial"/>
                <w:b/>
                <w:bCs/>
                <w:sz w:val="20"/>
                <w:szCs w:val="20"/>
              </w:rPr>
              <w:t>31 March</w:t>
            </w:r>
          </w:p>
        </w:tc>
      </w:tr>
      <w:tr w:rsidR="00543335" w:rsidRPr="00B84F4A" w14:paraId="1E5C7477" w14:textId="7BE3EF4D" w:rsidTr="006A47F1">
        <w:trPr>
          <w:trHeight w:val="240"/>
        </w:trPr>
        <w:tc>
          <w:tcPr>
            <w:tcW w:w="3900" w:type="dxa"/>
            <w:tcBorders>
              <w:top w:val="nil"/>
              <w:left w:val="nil"/>
              <w:bottom w:val="nil"/>
              <w:right w:val="nil"/>
            </w:tcBorders>
            <w:shd w:val="clear" w:color="auto" w:fill="auto"/>
            <w:noWrap/>
            <w:vAlign w:val="bottom"/>
          </w:tcPr>
          <w:p w14:paraId="38846AE1" w14:textId="77777777" w:rsidR="00543335" w:rsidRDefault="00543335" w:rsidP="00543335">
            <w:pPr>
              <w:rPr>
                <w:rFonts w:ascii="Arial" w:hAnsi="Arial" w:cs="Arial"/>
                <w:sz w:val="20"/>
                <w:szCs w:val="20"/>
              </w:rPr>
            </w:pPr>
          </w:p>
        </w:tc>
        <w:tc>
          <w:tcPr>
            <w:tcW w:w="1252" w:type="dxa"/>
            <w:tcBorders>
              <w:top w:val="nil"/>
              <w:left w:val="nil"/>
              <w:bottom w:val="nil"/>
              <w:right w:val="nil"/>
            </w:tcBorders>
            <w:shd w:val="clear" w:color="auto" w:fill="auto"/>
            <w:noWrap/>
            <w:vAlign w:val="bottom"/>
          </w:tcPr>
          <w:p w14:paraId="4B051DFE" w14:textId="39F62A8E" w:rsidR="00543335" w:rsidRPr="00134689" w:rsidRDefault="00543335" w:rsidP="00543335">
            <w:pPr>
              <w:jc w:val="right"/>
              <w:rPr>
                <w:rFonts w:ascii="Arial" w:hAnsi="Arial" w:cs="Arial"/>
                <w:b/>
                <w:bCs/>
                <w:sz w:val="20"/>
                <w:szCs w:val="20"/>
              </w:rPr>
            </w:pPr>
            <w:r w:rsidRPr="00134689">
              <w:rPr>
                <w:rFonts w:ascii="Arial" w:hAnsi="Arial" w:cs="Arial"/>
                <w:b/>
                <w:bCs/>
                <w:sz w:val="20"/>
                <w:szCs w:val="20"/>
              </w:rPr>
              <w:t>202</w:t>
            </w:r>
            <w:r w:rsidR="00E93716" w:rsidRPr="00134689">
              <w:rPr>
                <w:rFonts w:ascii="Arial" w:hAnsi="Arial" w:cs="Arial"/>
                <w:b/>
                <w:bCs/>
                <w:sz w:val="20"/>
                <w:szCs w:val="20"/>
              </w:rPr>
              <w:t>3</w:t>
            </w:r>
          </w:p>
        </w:tc>
        <w:tc>
          <w:tcPr>
            <w:tcW w:w="1276" w:type="dxa"/>
            <w:tcBorders>
              <w:top w:val="nil"/>
              <w:left w:val="nil"/>
              <w:bottom w:val="nil"/>
              <w:right w:val="nil"/>
            </w:tcBorders>
            <w:vAlign w:val="bottom"/>
          </w:tcPr>
          <w:p w14:paraId="09CE3094" w14:textId="18F4F4CD" w:rsidR="00543335" w:rsidRPr="00D5466E" w:rsidRDefault="00543335" w:rsidP="00543335">
            <w:pPr>
              <w:jc w:val="right"/>
              <w:rPr>
                <w:rFonts w:ascii="Arial" w:hAnsi="Arial" w:cs="Arial"/>
                <w:b/>
                <w:bCs/>
                <w:sz w:val="20"/>
                <w:szCs w:val="20"/>
              </w:rPr>
            </w:pPr>
            <w:r w:rsidRPr="00D5466E">
              <w:rPr>
                <w:rFonts w:ascii="Arial" w:hAnsi="Arial" w:cs="Arial"/>
                <w:b/>
                <w:bCs/>
                <w:sz w:val="20"/>
                <w:szCs w:val="20"/>
              </w:rPr>
              <w:t>20</w:t>
            </w:r>
            <w:r>
              <w:rPr>
                <w:rFonts w:ascii="Arial" w:hAnsi="Arial" w:cs="Arial"/>
                <w:b/>
                <w:bCs/>
                <w:sz w:val="20"/>
                <w:szCs w:val="20"/>
              </w:rPr>
              <w:t>2</w:t>
            </w:r>
            <w:r w:rsidR="00E93716">
              <w:rPr>
                <w:rFonts w:ascii="Arial" w:hAnsi="Arial" w:cs="Arial"/>
                <w:b/>
                <w:bCs/>
                <w:sz w:val="20"/>
                <w:szCs w:val="20"/>
              </w:rPr>
              <w:t>2</w:t>
            </w:r>
          </w:p>
        </w:tc>
        <w:tc>
          <w:tcPr>
            <w:tcW w:w="1276" w:type="dxa"/>
            <w:tcBorders>
              <w:top w:val="nil"/>
              <w:left w:val="nil"/>
              <w:bottom w:val="nil"/>
              <w:right w:val="nil"/>
            </w:tcBorders>
            <w:vAlign w:val="bottom"/>
          </w:tcPr>
          <w:p w14:paraId="348CF1B6" w14:textId="6B7B4A7A" w:rsidR="00543335" w:rsidRPr="00D5466E" w:rsidRDefault="00543335" w:rsidP="00543335">
            <w:pPr>
              <w:jc w:val="right"/>
              <w:rPr>
                <w:rFonts w:ascii="Arial" w:hAnsi="Arial" w:cs="Arial"/>
                <w:b/>
                <w:bCs/>
                <w:sz w:val="20"/>
                <w:szCs w:val="20"/>
              </w:rPr>
            </w:pPr>
            <w:r w:rsidRPr="00D5466E">
              <w:rPr>
                <w:rFonts w:ascii="Arial" w:hAnsi="Arial" w:cs="Arial"/>
                <w:b/>
                <w:bCs/>
                <w:sz w:val="20"/>
                <w:szCs w:val="20"/>
              </w:rPr>
              <w:t>20</w:t>
            </w:r>
            <w:r>
              <w:rPr>
                <w:rFonts w:ascii="Arial" w:hAnsi="Arial" w:cs="Arial"/>
                <w:b/>
                <w:bCs/>
                <w:sz w:val="20"/>
                <w:szCs w:val="20"/>
              </w:rPr>
              <w:t>2</w:t>
            </w:r>
            <w:r w:rsidR="00E93716">
              <w:rPr>
                <w:rFonts w:ascii="Arial" w:hAnsi="Arial" w:cs="Arial"/>
                <w:b/>
                <w:bCs/>
                <w:sz w:val="20"/>
                <w:szCs w:val="20"/>
              </w:rPr>
              <w:t>1</w:t>
            </w:r>
          </w:p>
        </w:tc>
      </w:tr>
      <w:tr w:rsidR="00E93716" w:rsidRPr="00B84F4A" w14:paraId="00862F50" w14:textId="74176DC9" w:rsidTr="006A47F1">
        <w:trPr>
          <w:trHeight w:val="240"/>
        </w:trPr>
        <w:tc>
          <w:tcPr>
            <w:tcW w:w="3900" w:type="dxa"/>
            <w:tcBorders>
              <w:top w:val="nil"/>
              <w:left w:val="nil"/>
              <w:bottom w:val="nil"/>
              <w:right w:val="nil"/>
            </w:tcBorders>
            <w:shd w:val="clear" w:color="auto" w:fill="auto"/>
            <w:noWrap/>
            <w:vAlign w:val="bottom"/>
            <w:hideMark/>
          </w:tcPr>
          <w:p w14:paraId="71CF92FA" w14:textId="77777777" w:rsidR="00E93716" w:rsidRPr="00B84F4A" w:rsidRDefault="00E93716" w:rsidP="00E93716">
            <w:pPr>
              <w:rPr>
                <w:rFonts w:ascii="Arial" w:hAnsi="Arial" w:cs="Arial"/>
                <w:sz w:val="20"/>
                <w:szCs w:val="20"/>
              </w:rPr>
            </w:pPr>
            <w:r>
              <w:rPr>
                <w:rFonts w:ascii="Arial" w:hAnsi="Arial" w:cs="Arial"/>
                <w:sz w:val="20"/>
                <w:szCs w:val="20"/>
              </w:rPr>
              <w:t>Loans to related parties (A)</w:t>
            </w:r>
          </w:p>
        </w:tc>
        <w:tc>
          <w:tcPr>
            <w:tcW w:w="1252" w:type="dxa"/>
            <w:tcBorders>
              <w:top w:val="nil"/>
              <w:left w:val="nil"/>
              <w:bottom w:val="nil"/>
              <w:right w:val="nil"/>
            </w:tcBorders>
            <w:shd w:val="clear" w:color="auto" w:fill="auto"/>
            <w:noWrap/>
            <w:vAlign w:val="bottom"/>
            <w:hideMark/>
          </w:tcPr>
          <w:p w14:paraId="434671BD" w14:textId="5FEF7505" w:rsidR="00E93716" w:rsidRPr="00134689" w:rsidRDefault="00E93716" w:rsidP="00E93716">
            <w:pPr>
              <w:jc w:val="right"/>
              <w:rPr>
                <w:rFonts w:ascii="Arial" w:hAnsi="Arial" w:cs="Arial"/>
                <w:sz w:val="20"/>
                <w:szCs w:val="20"/>
              </w:rPr>
            </w:pPr>
            <w:r w:rsidRPr="00134689">
              <w:rPr>
                <w:rFonts w:ascii="Arial" w:hAnsi="Arial" w:cs="Arial"/>
                <w:sz w:val="20"/>
                <w:szCs w:val="20"/>
              </w:rPr>
              <w:t>1</w:t>
            </w:r>
            <w:r w:rsidR="001667AC" w:rsidRPr="00134689">
              <w:rPr>
                <w:rFonts w:ascii="Arial" w:hAnsi="Arial" w:cs="Arial"/>
                <w:sz w:val="20"/>
                <w:szCs w:val="20"/>
              </w:rPr>
              <w:t>2</w:t>
            </w:r>
            <w:r w:rsidRPr="00134689">
              <w:rPr>
                <w:rFonts w:ascii="Arial" w:hAnsi="Arial" w:cs="Arial"/>
                <w:sz w:val="20"/>
                <w:szCs w:val="20"/>
              </w:rPr>
              <w:t>,</w:t>
            </w:r>
            <w:r w:rsidR="001667AC" w:rsidRPr="00134689">
              <w:rPr>
                <w:rFonts w:ascii="Arial" w:hAnsi="Arial" w:cs="Arial"/>
                <w:sz w:val="20"/>
                <w:szCs w:val="20"/>
              </w:rPr>
              <w:t>608</w:t>
            </w:r>
            <w:r w:rsidRPr="00134689">
              <w:rPr>
                <w:rFonts w:ascii="Arial" w:hAnsi="Arial" w:cs="Arial"/>
                <w:sz w:val="20"/>
                <w:szCs w:val="20"/>
              </w:rPr>
              <w:t xml:space="preserve"> </w:t>
            </w:r>
          </w:p>
        </w:tc>
        <w:tc>
          <w:tcPr>
            <w:tcW w:w="1276" w:type="dxa"/>
            <w:tcBorders>
              <w:top w:val="nil"/>
              <w:left w:val="nil"/>
              <w:bottom w:val="nil"/>
              <w:right w:val="nil"/>
            </w:tcBorders>
            <w:vAlign w:val="bottom"/>
          </w:tcPr>
          <w:p w14:paraId="5FFA2F03" w14:textId="53B7B7BF" w:rsidR="00E93716" w:rsidRDefault="00E93716" w:rsidP="00E93716">
            <w:pPr>
              <w:jc w:val="right"/>
              <w:rPr>
                <w:rFonts w:ascii="Arial" w:hAnsi="Arial" w:cs="Arial"/>
                <w:sz w:val="20"/>
                <w:szCs w:val="20"/>
              </w:rPr>
            </w:pPr>
            <w:r>
              <w:rPr>
                <w:rFonts w:ascii="Arial" w:hAnsi="Arial" w:cs="Arial"/>
                <w:sz w:val="20"/>
                <w:szCs w:val="20"/>
              </w:rPr>
              <w:t>13,337</w:t>
            </w:r>
            <w:r w:rsidRPr="00183543">
              <w:rPr>
                <w:rFonts w:ascii="Arial" w:hAnsi="Arial" w:cs="Arial"/>
                <w:sz w:val="20"/>
                <w:szCs w:val="20"/>
              </w:rPr>
              <w:t xml:space="preserve"> </w:t>
            </w:r>
          </w:p>
        </w:tc>
        <w:tc>
          <w:tcPr>
            <w:tcW w:w="1276" w:type="dxa"/>
            <w:tcBorders>
              <w:top w:val="nil"/>
              <w:left w:val="nil"/>
              <w:bottom w:val="nil"/>
              <w:right w:val="nil"/>
            </w:tcBorders>
            <w:vAlign w:val="bottom"/>
          </w:tcPr>
          <w:p w14:paraId="0CF504AE" w14:textId="083F5DB1" w:rsidR="00E93716" w:rsidRDefault="00E93716" w:rsidP="00E93716">
            <w:pPr>
              <w:jc w:val="right"/>
              <w:rPr>
                <w:rFonts w:ascii="Arial" w:hAnsi="Arial" w:cs="Arial"/>
                <w:sz w:val="20"/>
                <w:szCs w:val="20"/>
              </w:rPr>
            </w:pPr>
            <w:r>
              <w:rPr>
                <w:rFonts w:ascii="Arial" w:hAnsi="Arial" w:cs="Arial"/>
                <w:sz w:val="20"/>
                <w:szCs w:val="20"/>
              </w:rPr>
              <w:t>10,635</w:t>
            </w:r>
            <w:r w:rsidRPr="00183543">
              <w:rPr>
                <w:rFonts w:ascii="Arial" w:hAnsi="Arial" w:cs="Arial"/>
                <w:sz w:val="20"/>
                <w:szCs w:val="20"/>
              </w:rPr>
              <w:t xml:space="preserve"> </w:t>
            </w:r>
          </w:p>
        </w:tc>
      </w:tr>
      <w:tr w:rsidR="00E93716" w:rsidRPr="00B84F4A" w14:paraId="59ADCAFD" w14:textId="21885EE0" w:rsidTr="006A47F1">
        <w:trPr>
          <w:trHeight w:val="240"/>
        </w:trPr>
        <w:tc>
          <w:tcPr>
            <w:tcW w:w="3900" w:type="dxa"/>
            <w:tcBorders>
              <w:top w:val="nil"/>
              <w:left w:val="nil"/>
              <w:bottom w:val="nil"/>
              <w:right w:val="nil"/>
            </w:tcBorders>
            <w:shd w:val="clear" w:color="auto" w:fill="auto"/>
            <w:noWrap/>
            <w:vAlign w:val="bottom"/>
            <w:hideMark/>
          </w:tcPr>
          <w:p w14:paraId="36D1C6C3" w14:textId="77777777" w:rsidR="00E93716" w:rsidRPr="00B84F4A" w:rsidRDefault="00E93716" w:rsidP="00E93716">
            <w:pPr>
              <w:rPr>
                <w:rFonts w:ascii="Arial" w:hAnsi="Arial" w:cs="Arial"/>
                <w:sz w:val="20"/>
                <w:szCs w:val="20"/>
              </w:rPr>
            </w:pPr>
            <w:r>
              <w:rPr>
                <w:rFonts w:ascii="Arial" w:hAnsi="Arial" w:cs="Arial"/>
                <w:sz w:val="20"/>
                <w:szCs w:val="20"/>
              </w:rPr>
              <w:t>Other related party exposures (B)</w:t>
            </w:r>
          </w:p>
        </w:tc>
        <w:tc>
          <w:tcPr>
            <w:tcW w:w="1252" w:type="dxa"/>
            <w:tcBorders>
              <w:top w:val="nil"/>
              <w:left w:val="nil"/>
              <w:bottom w:val="nil"/>
              <w:right w:val="nil"/>
            </w:tcBorders>
            <w:shd w:val="clear" w:color="auto" w:fill="auto"/>
            <w:noWrap/>
            <w:vAlign w:val="bottom"/>
            <w:hideMark/>
          </w:tcPr>
          <w:p w14:paraId="28C2F13F" w14:textId="77777777" w:rsidR="00E93716" w:rsidRPr="00183543" w:rsidRDefault="00E93716" w:rsidP="00E93716">
            <w:pPr>
              <w:jc w:val="right"/>
              <w:rPr>
                <w:rFonts w:ascii="Arial" w:hAnsi="Arial" w:cs="Arial"/>
                <w:sz w:val="20"/>
                <w:szCs w:val="20"/>
              </w:rPr>
            </w:pPr>
            <w:r w:rsidRPr="00183543">
              <w:rPr>
                <w:rFonts w:ascii="Arial" w:hAnsi="Arial" w:cs="Arial"/>
                <w:sz w:val="20"/>
                <w:szCs w:val="20"/>
              </w:rPr>
              <w:t>-</w:t>
            </w:r>
          </w:p>
        </w:tc>
        <w:tc>
          <w:tcPr>
            <w:tcW w:w="1276" w:type="dxa"/>
            <w:tcBorders>
              <w:top w:val="nil"/>
              <w:left w:val="nil"/>
              <w:bottom w:val="nil"/>
              <w:right w:val="nil"/>
            </w:tcBorders>
            <w:vAlign w:val="bottom"/>
          </w:tcPr>
          <w:p w14:paraId="0E2928B1" w14:textId="71FB3EED" w:rsidR="00E93716" w:rsidRPr="00183543" w:rsidRDefault="00E93716" w:rsidP="00E93716">
            <w:pPr>
              <w:jc w:val="right"/>
              <w:rPr>
                <w:rFonts w:ascii="Arial" w:hAnsi="Arial" w:cs="Arial"/>
                <w:sz w:val="20"/>
                <w:szCs w:val="20"/>
              </w:rPr>
            </w:pPr>
            <w:r w:rsidRPr="00183543">
              <w:rPr>
                <w:rFonts w:ascii="Arial" w:hAnsi="Arial" w:cs="Arial"/>
                <w:sz w:val="20"/>
                <w:szCs w:val="20"/>
              </w:rPr>
              <w:t>-</w:t>
            </w:r>
          </w:p>
        </w:tc>
        <w:tc>
          <w:tcPr>
            <w:tcW w:w="1276" w:type="dxa"/>
            <w:tcBorders>
              <w:top w:val="nil"/>
              <w:left w:val="nil"/>
              <w:bottom w:val="nil"/>
              <w:right w:val="nil"/>
            </w:tcBorders>
            <w:vAlign w:val="bottom"/>
          </w:tcPr>
          <w:p w14:paraId="45E40463" w14:textId="67CB0927" w:rsidR="00E93716" w:rsidRPr="00183543" w:rsidRDefault="00E93716" w:rsidP="00E93716">
            <w:pPr>
              <w:jc w:val="right"/>
              <w:rPr>
                <w:rFonts w:ascii="Arial" w:hAnsi="Arial" w:cs="Arial"/>
                <w:sz w:val="20"/>
                <w:szCs w:val="20"/>
              </w:rPr>
            </w:pPr>
            <w:r w:rsidRPr="00183543">
              <w:rPr>
                <w:rFonts w:ascii="Arial" w:hAnsi="Arial" w:cs="Arial"/>
                <w:sz w:val="20"/>
                <w:szCs w:val="20"/>
              </w:rPr>
              <w:t>-</w:t>
            </w:r>
          </w:p>
        </w:tc>
      </w:tr>
      <w:tr w:rsidR="00E93716" w:rsidRPr="00B84F4A" w14:paraId="3CBC7FD7" w14:textId="7EDF0418" w:rsidTr="006A47F1">
        <w:trPr>
          <w:trHeight w:val="240"/>
        </w:trPr>
        <w:tc>
          <w:tcPr>
            <w:tcW w:w="3900" w:type="dxa"/>
            <w:tcBorders>
              <w:top w:val="nil"/>
              <w:left w:val="nil"/>
              <w:bottom w:val="nil"/>
              <w:right w:val="nil"/>
            </w:tcBorders>
            <w:shd w:val="clear" w:color="auto" w:fill="auto"/>
            <w:noWrap/>
            <w:vAlign w:val="bottom"/>
            <w:hideMark/>
          </w:tcPr>
          <w:p w14:paraId="7B512239" w14:textId="77777777" w:rsidR="00E93716" w:rsidRPr="00B84F4A" w:rsidRDefault="00E93716" w:rsidP="00E93716">
            <w:pPr>
              <w:rPr>
                <w:rFonts w:ascii="Arial" w:hAnsi="Arial" w:cs="Arial"/>
                <w:sz w:val="20"/>
                <w:szCs w:val="20"/>
              </w:rPr>
            </w:pPr>
            <w:r>
              <w:rPr>
                <w:rFonts w:ascii="Arial" w:hAnsi="Arial" w:cs="Arial"/>
                <w:sz w:val="20"/>
                <w:szCs w:val="20"/>
              </w:rPr>
              <w:t>Capital</w:t>
            </w:r>
          </w:p>
        </w:tc>
        <w:tc>
          <w:tcPr>
            <w:tcW w:w="1252" w:type="dxa"/>
            <w:tcBorders>
              <w:top w:val="nil"/>
              <w:left w:val="nil"/>
              <w:bottom w:val="nil"/>
              <w:right w:val="nil"/>
            </w:tcBorders>
            <w:shd w:val="clear" w:color="auto" w:fill="auto"/>
            <w:noWrap/>
            <w:vAlign w:val="bottom"/>
            <w:hideMark/>
          </w:tcPr>
          <w:p w14:paraId="729AEE7F" w14:textId="349A8A9D" w:rsidR="00E93716" w:rsidRPr="00183543" w:rsidRDefault="001667AC" w:rsidP="00E93716">
            <w:pPr>
              <w:jc w:val="right"/>
              <w:rPr>
                <w:rFonts w:ascii="Arial" w:hAnsi="Arial" w:cs="Arial"/>
                <w:sz w:val="20"/>
                <w:szCs w:val="20"/>
              </w:rPr>
            </w:pPr>
            <w:r>
              <w:rPr>
                <w:rFonts w:ascii="Arial" w:hAnsi="Arial" w:cs="Arial"/>
                <w:sz w:val="20"/>
                <w:szCs w:val="20"/>
              </w:rPr>
              <w:t>15,742,400</w:t>
            </w:r>
          </w:p>
        </w:tc>
        <w:tc>
          <w:tcPr>
            <w:tcW w:w="1276" w:type="dxa"/>
            <w:tcBorders>
              <w:top w:val="nil"/>
              <w:left w:val="nil"/>
              <w:bottom w:val="nil"/>
              <w:right w:val="nil"/>
            </w:tcBorders>
            <w:vAlign w:val="bottom"/>
          </w:tcPr>
          <w:p w14:paraId="225CF09E" w14:textId="546C6137" w:rsidR="00E93716" w:rsidRDefault="00E93716" w:rsidP="00E93716">
            <w:pPr>
              <w:jc w:val="right"/>
              <w:rPr>
                <w:rFonts w:ascii="Arial" w:hAnsi="Arial" w:cs="Arial"/>
                <w:sz w:val="20"/>
                <w:szCs w:val="20"/>
              </w:rPr>
            </w:pPr>
            <w:r>
              <w:rPr>
                <w:rFonts w:ascii="Arial" w:hAnsi="Arial" w:cs="Arial"/>
                <w:sz w:val="20"/>
                <w:szCs w:val="20"/>
              </w:rPr>
              <w:t>9,653,934</w:t>
            </w:r>
          </w:p>
        </w:tc>
        <w:tc>
          <w:tcPr>
            <w:tcW w:w="1276" w:type="dxa"/>
            <w:tcBorders>
              <w:top w:val="nil"/>
              <w:left w:val="nil"/>
              <w:bottom w:val="nil"/>
              <w:right w:val="nil"/>
            </w:tcBorders>
            <w:vAlign w:val="bottom"/>
          </w:tcPr>
          <w:p w14:paraId="4112FFD2" w14:textId="3E65146D" w:rsidR="00E93716" w:rsidRDefault="00E93716" w:rsidP="00E93716">
            <w:pPr>
              <w:jc w:val="right"/>
              <w:rPr>
                <w:rFonts w:ascii="Arial" w:hAnsi="Arial" w:cs="Arial"/>
                <w:sz w:val="20"/>
                <w:szCs w:val="20"/>
              </w:rPr>
            </w:pPr>
            <w:r>
              <w:rPr>
                <w:rFonts w:ascii="Arial" w:hAnsi="Arial" w:cs="Arial"/>
                <w:sz w:val="20"/>
                <w:szCs w:val="20"/>
              </w:rPr>
              <w:t>5,992,316</w:t>
            </w:r>
          </w:p>
        </w:tc>
      </w:tr>
      <w:tr w:rsidR="00E93716" w:rsidRPr="00183543" w14:paraId="2E81593F" w14:textId="24687BD5" w:rsidTr="006A47F1">
        <w:trPr>
          <w:trHeight w:val="240"/>
        </w:trPr>
        <w:tc>
          <w:tcPr>
            <w:tcW w:w="3900" w:type="dxa"/>
            <w:tcBorders>
              <w:top w:val="nil"/>
              <w:left w:val="nil"/>
              <w:bottom w:val="nil"/>
              <w:right w:val="nil"/>
            </w:tcBorders>
            <w:shd w:val="clear" w:color="auto" w:fill="auto"/>
            <w:noWrap/>
            <w:vAlign w:val="bottom"/>
          </w:tcPr>
          <w:p w14:paraId="26811EC5" w14:textId="77777777" w:rsidR="00E93716" w:rsidRPr="00183543" w:rsidRDefault="00E93716" w:rsidP="00E93716">
            <w:pPr>
              <w:rPr>
                <w:rFonts w:ascii="Arial" w:hAnsi="Arial" w:cs="Arial"/>
                <w:b/>
                <w:sz w:val="20"/>
                <w:szCs w:val="20"/>
              </w:rPr>
            </w:pPr>
            <w:r w:rsidRPr="00183543">
              <w:rPr>
                <w:rFonts w:ascii="Arial" w:hAnsi="Arial" w:cs="Arial"/>
                <w:b/>
                <w:sz w:val="20"/>
                <w:szCs w:val="20"/>
              </w:rPr>
              <w:t>(A + B) / C</w:t>
            </w:r>
          </w:p>
        </w:tc>
        <w:tc>
          <w:tcPr>
            <w:tcW w:w="1252" w:type="dxa"/>
            <w:tcBorders>
              <w:top w:val="nil"/>
              <w:left w:val="nil"/>
              <w:bottom w:val="nil"/>
              <w:right w:val="nil"/>
            </w:tcBorders>
            <w:shd w:val="clear" w:color="auto" w:fill="auto"/>
            <w:noWrap/>
            <w:vAlign w:val="bottom"/>
          </w:tcPr>
          <w:p w14:paraId="42861FDE" w14:textId="61264706" w:rsidR="00E93716" w:rsidRPr="00183543" w:rsidRDefault="00E93716" w:rsidP="00E93716">
            <w:pPr>
              <w:jc w:val="right"/>
              <w:rPr>
                <w:rFonts w:ascii="Arial" w:hAnsi="Arial" w:cs="Arial"/>
                <w:b/>
                <w:sz w:val="20"/>
                <w:szCs w:val="20"/>
              </w:rPr>
            </w:pPr>
            <w:r>
              <w:rPr>
                <w:rFonts w:ascii="Arial" w:hAnsi="Arial" w:cs="Arial"/>
                <w:b/>
                <w:sz w:val="20"/>
                <w:szCs w:val="20"/>
              </w:rPr>
              <w:t>0.1</w:t>
            </w:r>
            <w:r w:rsidRPr="00183543">
              <w:rPr>
                <w:rFonts w:ascii="Arial" w:hAnsi="Arial" w:cs="Arial"/>
                <w:b/>
                <w:sz w:val="20"/>
                <w:szCs w:val="20"/>
              </w:rPr>
              <w:t>%</w:t>
            </w:r>
          </w:p>
        </w:tc>
        <w:tc>
          <w:tcPr>
            <w:tcW w:w="1276" w:type="dxa"/>
            <w:tcBorders>
              <w:top w:val="nil"/>
              <w:left w:val="nil"/>
              <w:bottom w:val="nil"/>
              <w:right w:val="nil"/>
            </w:tcBorders>
            <w:vAlign w:val="bottom"/>
          </w:tcPr>
          <w:p w14:paraId="05B993F5" w14:textId="54E34990" w:rsidR="00E93716" w:rsidRDefault="00E93716" w:rsidP="00E93716">
            <w:pPr>
              <w:jc w:val="right"/>
              <w:rPr>
                <w:rFonts w:ascii="Arial" w:hAnsi="Arial" w:cs="Arial"/>
                <w:b/>
                <w:sz w:val="20"/>
                <w:szCs w:val="20"/>
              </w:rPr>
            </w:pPr>
            <w:r>
              <w:rPr>
                <w:rFonts w:ascii="Arial" w:hAnsi="Arial" w:cs="Arial"/>
                <w:b/>
                <w:sz w:val="20"/>
                <w:szCs w:val="20"/>
              </w:rPr>
              <w:t>0.1</w:t>
            </w:r>
            <w:r w:rsidRPr="00183543">
              <w:rPr>
                <w:rFonts w:ascii="Arial" w:hAnsi="Arial" w:cs="Arial"/>
                <w:b/>
                <w:sz w:val="20"/>
                <w:szCs w:val="20"/>
              </w:rPr>
              <w:t>%</w:t>
            </w:r>
          </w:p>
        </w:tc>
        <w:tc>
          <w:tcPr>
            <w:tcW w:w="1276" w:type="dxa"/>
            <w:tcBorders>
              <w:top w:val="nil"/>
              <w:left w:val="nil"/>
              <w:bottom w:val="nil"/>
              <w:right w:val="nil"/>
            </w:tcBorders>
            <w:vAlign w:val="bottom"/>
          </w:tcPr>
          <w:p w14:paraId="6E92F880" w14:textId="7E89A218" w:rsidR="00E93716" w:rsidRDefault="00E93716" w:rsidP="00E93716">
            <w:pPr>
              <w:jc w:val="right"/>
              <w:rPr>
                <w:rFonts w:ascii="Arial" w:hAnsi="Arial" w:cs="Arial"/>
                <w:b/>
                <w:sz w:val="20"/>
                <w:szCs w:val="20"/>
              </w:rPr>
            </w:pPr>
            <w:r>
              <w:rPr>
                <w:rFonts w:ascii="Arial" w:hAnsi="Arial" w:cs="Arial"/>
                <w:b/>
                <w:sz w:val="20"/>
                <w:szCs w:val="20"/>
              </w:rPr>
              <w:t>0.2</w:t>
            </w:r>
            <w:r w:rsidRPr="00183543">
              <w:rPr>
                <w:rFonts w:ascii="Arial" w:hAnsi="Arial" w:cs="Arial"/>
                <w:b/>
                <w:sz w:val="20"/>
                <w:szCs w:val="20"/>
              </w:rPr>
              <w:t>%</w:t>
            </w:r>
          </w:p>
        </w:tc>
      </w:tr>
    </w:tbl>
    <w:p w14:paraId="3349984F" w14:textId="77777777" w:rsidR="00D5466E" w:rsidRDefault="00D5466E" w:rsidP="00D5466E">
      <w:pPr>
        <w:rPr>
          <w:rFonts w:ascii="Arial" w:eastAsia="TimesNewRomanPSMT-Identity-H" w:hAnsi="Arial" w:cs="TimesNewRomanPSMT-Identity-H"/>
          <w:b/>
          <w:sz w:val="20"/>
          <w:szCs w:val="20"/>
        </w:rPr>
      </w:pPr>
    </w:p>
    <w:p w14:paraId="2964E10C" w14:textId="77777777" w:rsidR="00D5466E" w:rsidRDefault="00D5466E" w:rsidP="00D5466E">
      <w:pPr>
        <w:rPr>
          <w:rFonts w:ascii="Arial" w:eastAsia="TimesNewRomanPSMT-Identity-H" w:hAnsi="Arial" w:cs="TimesNewRomanPSMT-Identity-H"/>
          <w:b/>
          <w:sz w:val="20"/>
          <w:szCs w:val="20"/>
        </w:rPr>
      </w:pPr>
      <w:r>
        <w:rPr>
          <w:rFonts w:ascii="Arial" w:hAnsi="Arial" w:cs="Arial"/>
          <w:sz w:val="20"/>
          <w:szCs w:val="20"/>
        </w:rPr>
        <w:t>*Related party exposures are</w:t>
      </w:r>
      <w:r w:rsidRPr="008532D0">
        <w:rPr>
          <w:rFonts w:ascii="Arial" w:hAnsi="Arial" w:cs="Arial"/>
          <w:sz w:val="20"/>
          <w:szCs w:val="20"/>
        </w:rPr>
        <w:t xml:space="preserve"> calculated by dividing </w:t>
      </w:r>
      <w:r>
        <w:rPr>
          <w:rFonts w:ascii="Arial" w:hAnsi="Arial" w:cs="Arial"/>
          <w:sz w:val="20"/>
          <w:szCs w:val="20"/>
        </w:rPr>
        <w:t xml:space="preserve">total related party exposures by Capital </w:t>
      </w:r>
      <w:r w:rsidRPr="00DD632B">
        <w:rPr>
          <w:rFonts w:ascii="Arial" w:hAnsi="Arial" w:cs="Arial"/>
          <w:sz w:val="20"/>
          <w:szCs w:val="20"/>
        </w:rPr>
        <w:t>(per 2010 Regulations)</w:t>
      </w:r>
      <w:r>
        <w:rPr>
          <w:rFonts w:ascii="Arial" w:hAnsi="Arial" w:cs="Arial"/>
          <w:sz w:val="20"/>
          <w:szCs w:val="20"/>
        </w:rPr>
        <w:t>.</w:t>
      </w:r>
    </w:p>
    <w:p w14:paraId="57548D5B" w14:textId="77777777" w:rsidR="00C73485" w:rsidRDefault="00C73485" w:rsidP="0006682A">
      <w:pPr>
        <w:rPr>
          <w:rFonts w:ascii="Arial" w:eastAsia="TimesNewRomanPSMT-Identity-H" w:hAnsi="Arial" w:cs="TimesNewRomanPSMT-Identity-H"/>
          <w:b/>
          <w:caps/>
          <w:color w:val="000080"/>
          <w:sz w:val="20"/>
          <w:szCs w:val="20"/>
        </w:rPr>
      </w:pPr>
    </w:p>
    <w:p w14:paraId="12DD284A" w14:textId="77777777" w:rsidR="00C73485" w:rsidRDefault="00C73485" w:rsidP="0006682A">
      <w:pPr>
        <w:rPr>
          <w:rFonts w:ascii="Arial" w:eastAsia="TimesNewRomanPSMT-Identity-H" w:hAnsi="Arial" w:cs="TimesNewRomanPSMT-Identity-H"/>
          <w:b/>
          <w:caps/>
          <w:color w:val="000080"/>
          <w:sz w:val="20"/>
          <w:szCs w:val="20"/>
        </w:rPr>
      </w:pPr>
    </w:p>
    <w:p w14:paraId="6B122C22" w14:textId="77777777" w:rsidR="00C73485" w:rsidRDefault="00C73485" w:rsidP="0006682A">
      <w:pPr>
        <w:rPr>
          <w:rFonts w:ascii="Arial" w:eastAsia="TimesNewRomanPSMT-Identity-H" w:hAnsi="Arial" w:cs="TimesNewRomanPSMT-Identity-H"/>
          <w:b/>
          <w:caps/>
          <w:color w:val="000080"/>
          <w:sz w:val="20"/>
          <w:szCs w:val="20"/>
        </w:rPr>
      </w:pPr>
    </w:p>
    <w:p w14:paraId="7B644BB2" w14:textId="495F60D2" w:rsidR="0006682A" w:rsidRPr="0037261F" w:rsidRDefault="003A4EB3" w:rsidP="0006682A">
      <w:pPr>
        <w:rPr>
          <w:rFonts w:ascii="Arial" w:eastAsia="TimesNewRomanPSMT-Identity-H" w:hAnsi="Arial" w:cs="TimesNewRomanPSMT-Identity-H"/>
          <w:b/>
          <w:sz w:val="20"/>
          <w:szCs w:val="20"/>
        </w:rPr>
      </w:pPr>
      <w:r>
        <w:rPr>
          <w:rFonts w:ascii="Arial" w:eastAsia="TimesNewRomanPSMT-Identity-H" w:hAnsi="Arial" w:cs="TimesNewRomanPSMT-Identity-H"/>
          <w:b/>
          <w:caps/>
          <w:color w:val="000080"/>
          <w:sz w:val="20"/>
          <w:szCs w:val="20"/>
        </w:rPr>
        <w:t>HOW L</w:t>
      </w:r>
      <w:r w:rsidR="0006682A" w:rsidRPr="00C91C90">
        <w:rPr>
          <w:rFonts w:ascii="Arial" w:eastAsia="TimesNewRomanPSMT-Identity-H" w:hAnsi="Arial" w:cs="TimesNewRomanPSMT-Identity-H"/>
          <w:b/>
          <w:caps/>
          <w:color w:val="000080"/>
          <w:sz w:val="20"/>
          <w:szCs w:val="20"/>
        </w:rPr>
        <w:t>iquidity measures</w:t>
      </w:r>
      <w:r>
        <w:rPr>
          <w:rFonts w:ascii="Arial" w:eastAsia="TimesNewRomanPSMT-Identity-H" w:hAnsi="Arial" w:cs="TimesNewRomanPSMT-Identity-H"/>
          <w:b/>
          <w:caps/>
          <w:color w:val="000080"/>
          <w:sz w:val="20"/>
          <w:szCs w:val="20"/>
        </w:rPr>
        <w:t xml:space="preserve"> HAVE BEEN CALCULATED</w:t>
      </w:r>
    </w:p>
    <w:p w14:paraId="51B8D683" w14:textId="77777777" w:rsidR="0006682A" w:rsidRDefault="0006682A" w:rsidP="0006682A">
      <w:pPr>
        <w:rPr>
          <w:rFonts w:ascii="Arial" w:eastAsia="TimesNewRomanPSMT-Identity-H" w:hAnsi="Arial" w:cs="TimesNewRomanPSMT-Identity-H"/>
          <w:sz w:val="20"/>
          <w:szCs w:val="20"/>
        </w:rPr>
      </w:pPr>
    </w:p>
    <w:tbl>
      <w:tblPr>
        <w:tblW w:w="7860" w:type="dxa"/>
        <w:tblInd w:w="95" w:type="dxa"/>
        <w:tblLook w:val="0000" w:firstRow="0" w:lastRow="0" w:firstColumn="0" w:lastColumn="0" w:noHBand="0" w:noVBand="0"/>
      </w:tblPr>
      <w:tblGrid>
        <w:gridCol w:w="3780"/>
        <w:gridCol w:w="1360"/>
        <w:gridCol w:w="1360"/>
        <w:gridCol w:w="1360"/>
      </w:tblGrid>
      <w:tr w:rsidR="00E93716" w14:paraId="7A134BF5" w14:textId="77777777" w:rsidTr="00E93716">
        <w:trPr>
          <w:trHeight w:val="465"/>
        </w:trPr>
        <w:tc>
          <w:tcPr>
            <w:tcW w:w="3780" w:type="dxa"/>
            <w:tcBorders>
              <w:top w:val="nil"/>
              <w:left w:val="nil"/>
              <w:right w:val="nil"/>
            </w:tcBorders>
            <w:shd w:val="clear" w:color="auto" w:fill="auto"/>
            <w:noWrap/>
            <w:vAlign w:val="bottom"/>
          </w:tcPr>
          <w:p w14:paraId="3B0A3A54" w14:textId="77777777" w:rsidR="00E93716" w:rsidRDefault="00E93716" w:rsidP="00543335">
            <w:pPr>
              <w:rPr>
                <w:rFonts w:ascii="Arial" w:hAnsi="Arial" w:cs="Arial"/>
                <w:sz w:val="20"/>
                <w:szCs w:val="20"/>
              </w:rPr>
            </w:pPr>
          </w:p>
        </w:tc>
        <w:tc>
          <w:tcPr>
            <w:tcW w:w="1360" w:type="dxa"/>
            <w:tcBorders>
              <w:top w:val="nil"/>
              <w:left w:val="nil"/>
              <w:right w:val="nil"/>
            </w:tcBorders>
            <w:vAlign w:val="bottom"/>
          </w:tcPr>
          <w:p w14:paraId="126C8115" w14:textId="77777777" w:rsidR="00E93716" w:rsidRPr="001667AC" w:rsidRDefault="00E93716" w:rsidP="00543335">
            <w:pPr>
              <w:jc w:val="right"/>
              <w:rPr>
                <w:rFonts w:ascii="Arial" w:hAnsi="Arial" w:cs="Arial"/>
                <w:b/>
                <w:sz w:val="20"/>
                <w:szCs w:val="20"/>
              </w:rPr>
            </w:pPr>
            <w:r w:rsidRPr="001667AC">
              <w:rPr>
                <w:rFonts w:ascii="Arial" w:hAnsi="Arial" w:cs="Arial"/>
                <w:b/>
                <w:sz w:val="20"/>
                <w:szCs w:val="20"/>
              </w:rPr>
              <w:t xml:space="preserve">31 March </w:t>
            </w:r>
          </w:p>
          <w:p w14:paraId="67A0D0ED" w14:textId="46C0AA90" w:rsidR="00E93716" w:rsidRPr="001667AC" w:rsidRDefault="00E93716" w:rsidP="00543335">
            <w:pPr>
              <w:jc w:val="right"/>
              <w:rPr>
                <w:rFonts w:ascii="Arial" w:hAnsi="Arial" w:cs="Arial"/>
                <w:b/>
                <w:sz w:val="20"/>
                <w:szCs w:val="20"/>
              </w:rPr>
            </w:pPr>
            <w:r w:rsidRPr="001667AC">
              <w:rPr>
                <w:rFonts w:ascii="Arial" w:hAnsi="Arial" w:cs="Arial"/>
                <w:b/>
                <w:sz w:val="20"/>
                <w:szCs w:val="20"/>
              </w:rPr>
              <w:t>2023</w:t>
            </w:r>
          </w:p>
        </w:tc>
        <w:tc>
          <w:tcPr>
            <w:tcW w:w="1360" w:type="dxa"/>
            <w:tcBorders>
              <w:top w:val="nil"/>
              <w:left w:val="nil"/>
              <w:right w:val="nil"/>
            </w:tcBorders>
            <w:vAlign w:val="bottom"/>
          </w:tcPr>
          <w:p w14:paraId="38D3F67E" w14:textId="77777777" w:rsidR="00E93716" w:rsidRPr="004D478F" w:rsidRDefault="00E93716" w:rsidP="00543335">
            <w:pPr>
              <w:jc w:val="right"/>
              <w:rPr>
                <w:rFonts w:ascii="Arial" w:hAnsi="Arial" w:cs="Arial"/>
                <w:b/>
                <w:sz w:val="20"/>
                <w:szCs w:val="20"/>
              </w:rPr>
            </w:pPr>
            <w:r w:rsidRPr="004D478F">
              <w:rPr>
                <w:rFonts w:ascii="Arial" w:hAnsi="Arial" w:cs="Arial"/>
                <w:b/>
                <w:sz w:val="20"/>
                <w:szCs w:val="20"/>
              </w:rPr>
              <w:t xml:space="preserve">31 March </w:t>
            </w:r>
          </w:p>
          <w:p w14:paraId="4E976C98" w14:textId="310118C0" w:rsidR="00E93716" w:rsidRPr="004D478F" w:rsidRDefault="00E93716" w:rsidP="00543335">
            <w:pPr>
              <w:jc w:val="right"/>
              <w:rPr>
                <w:rFonts w:ascii="Arial" w:hAnsi="Arial" w:cs="Arial"/>
                <w:b/>
                <w:sz w:val="20"/>
                <w:szCs w:val="20"/>
              </w:rPr>
            </w:pPr>
            <w:r w:rsidRPr="004D478F">
              <w:rPr>
                <w:rFonts w:ascii="Arial" w:hAnsi="Arial" w:cs="Arial"/>
                <w:b/>
                <w:sz w:val="20"/>
                <w:szCs w:val="20"/>
              </w:rPr>
              <w:t>20</w:t>
            </w:r>
            <w:r>
              <w:rPr>
                <w:rFonts w:ascii="Arial" w:hAnsi="Arial" w:cs="Arial"/>
                <w:b/>
                <w:sz w:val="20"/>
                <w:szCs w:val="20"/>
              </w:rPr>
              <w:t>22</w:t>
            </w:r>
          </w:p>
        </w:tc>
        <w:tc>
          <w:tcPr>
            <w:tcW w:w="1360" w:type="dxa"/>
            <w:tcBorders>
              <w:top w:val="nil"/>
              <w:left w:val="nil"/>
              <w:right w:val="nil"/>
            </w:tcBorders>
            <w:vAlign w:val="bottom"/>
          </w:tcPr>
          <w:p w14:paraId="4DA001D5" w14:textId="77777777" w:rsidR="00E93716" w:rsidRPr="004D478F" w:rsidRDefault="00E93716" w:rsidP="00543335">
            <w:pPr>
              <w:jc w:val="right"/>
              <w:rPr>
                <w:rFonts w:ascii="Arial" w:hAnsi="Arial" w:cs="Arial"/>
                <w:b/>
                <w:sz w:val="20"/>
                <w:szCs w:val="20"/>
              </w:rPr>
            </w:pPr>
            <w:r w:rsidRPr="004D478F">
              <w:rPr>
                <w:rFonts w:ascii="Arial" w:hAnsi="Arial" w:cs="Arial"/>
                <w:b/>
                <w:sz w:val="20"/>
                <w:szCs w:val="20"/>
              </w:rPr>
              <w:t xml:space="preserve">31 March </w:t>
            </w:r>
          </w:p>
          <w:p w14:paraId="7A5BDF1E" w14:textId="557EC3E6" w:rsidR="00E93716" w:rsidRPr="004D478F" w:rsidRDefault="00E93716" w:rsidP="00543335">
            <w:pPr>
              <w:jc w:val="right"/>
              <w:rPr>
                <w:rFonts w:ascii="Arial" w:hAnsi="Arial" w:cs="Arial"/>
                <w:b/>
                <w:sz w:val="20"/>
                <w:szCs w:val="20"/>
              </w:rPr>
            </w:pPr>
            <w:r w:rsidRPr="004D478F">
              <w:rPr>
                <w:rFonts w:ascii="Arial" w:hAnsi="Arial" w:cs="Arial"/>
                <w:b/>
                <w:sz w:val="20"/>
                <w:szCs w:val="20"/>
              </w:rPr>
              <w:t>20</w:t>
            </w:r>
            <w:r>
              <w:rPr>
                <w:rFonts w:ascii="Arial" w:hAnsi="Arial" w:cs="Arial"/>
                <w:b/>
                <w:sz w:val="20"/>
                <w:szCs w:val="20"/>
              </w:rPr>
              <w:t>21</w:t>
            </w:r>
          </w:p>
        </w:tc>
      </w:tr>
      <w:tr w:rsidR="00E93716" w14:paraId="7355F1A0" w14:textId="77777777" w:rsidTr="00E93716">
        <w:trPr>
          <w:trHeight w:val="227"/>
        </w:trPr>
        <w:tc>
          <w:tcPr>
            <w:tcW w:w="3780" w:type="dxa"/>
            <w:tcBorders>
              <w:top w:val="nil"/>
              <w:left w:val="nil"/>
              <w:bottom w:val="nil"/>
              <w:right w:val="nil"/>
            </w:tcBorders>
            <w:shd w:val="clear" w:color="auto" w:fill="auto"/>
            <w:noWrap/>
            <w:vAlign w:val="bottom"/>
          </w:tcPr>
          <w:p w14:paraId="5155F0FF" w14:textId="77777777" w:rsidR="00E93716" w:rsidRDefault="00E93716" w:rsidP="00543335">
            <w:pPr>
              <w:rPr>
                <w:rFonts w:ascii="Arial" w:hAnsi="Arial" w:cs="Arial"/>
                <w:sz w:val="20"/>
                <w:szCs w:val="20"/>
              </w:rPr>
            </w:pPr>
          </w:p>
        </w:tc>
        <w:tc>
          <w:tcPr>
            <w:tcW w:w="1360" w:type="dxa"/>
            <w:tcBorders>
              <w:top w:val="nil"/>
              <w:left w:val="nil"/>
              <w:bottom w:val="nil"/>
              <w:right w:val="nil"/>
            </w:tcBorders>
            <w:vAlign w:val="bottom"/>
          </w:tcPr>
          <w:p w14:paraId="690B59F3" w14:textId="77777777" w:rsidR="00E93716" w:rsidRPr="001667AC" w:rsidRDefault="00E93716" w:rsidP="00543335">
            <w:pPr>
              <w:rPr>
                <w:rFonts w:ascii="Arial" w:hAnsi="Arial" w:cs="Arial"/>
                <w:sz w:val="20"/>
                <w:szCs w:val="20"/>
              </w:rPr>
            </w:pPr>
          </w:p>
        </w:tc>
        <w:tc>
          <w:tcPr>
            <w:tcW w:w="1360" w:type="dxa"/>
            <w:tcBorders>
              <w:top w:val="nil"/>
              <w:left w:val="nil"/>
              <w:bottom w:val="nil"/>
              <w:right w:val="nil"/>
            </w:tcBorders>
            <w:vAlign w:val="bottom"/>
          </w:tcPr>
          <w:p w14:paraId="53BD232C" w14:textId="77777777" w:rsidR="00E93716" w:rsidRDefault="00E93716" w:rsidP="00543335">
            <w:pPr>
              <w:rPr>
                <w:rFonts w:ascii="Arial" w:hAnsi="Arial" w:cs="Arial"/>
                <w:sz w:val="20"/>
                <w:szCs w:val="20"/>
              </w:rPr>
            </w:pPr>
          </w:p>
        </w:tc>
        <w:tc>
          <w:tcPr>
            <w:tcW w:w="1360" w:type="dxa"/>
            <w:tcBorders>
              <w:top w:val="nil"/>
              <w:left w:val="nil"/>
              <w:bottom w:val="nil"/>
              <w:right w:val="nil"/>
            </w:tcBorders>
            <w:vAlign w:val="bottom"/>
          </w:tcPr>
          <w:p w14:paraId="4ECBDF79" w14:textId="222DD7D1" w:rsidR="00E93716" w:rsidRDefault="00E93716" w:rsidP="00543335">
            <w:pPr>
              <w:rPr>
                <w:rFonts w:ascii="Arial" w:hAnsi="Arial" w:cs="Arial"/>
                <w:sz w:val="20"/>
                <w:szCs w:val="20"/>
              </w:rPr>
            </w:pPr>
          </w:p>
        </w:tc>
      </w:tr>
      <w:tr w:rsidR="00E93716" w14:paraId="00CA2521" w14:textId="77777777" w:rsidTr="00E93716">
        <w:trPr>
          <w:trHeight w:val="227"/>
        </w:trPr>
        <w:tc>
          <w:tcPr>
            <w:tcW w:w="3780" w:type="dxa"/>
            <w:tcBorders>
              <w:top w:val="nil"/>
              <w:left w:val="nil"/>
              <w:bottom w:val="nil"/>
              <w:right w:val="nil"/>
            </w:tcBorders>
            <w:shd w:val="clear" w:color="auto" w:fill="auto"/>
            <w:noWrap/>
            <w:vAlign w:val="bottom"/>
          </w:tcPr>
          <w:p w14:paraId="43238408" w14:textId="77777777" w:rsidR="00E93716" w:rsidRDefault="00E93716" w:rsidP="00E93716">
            <w:pPr>
              <w:rPr>
                <w:rFonts w:ascii="Arial" w:hAnsi="Arial" w:cs="Arial"/>
                <w:sz w:val="20"/>
                <w:szCs w:val="20"/>
              </w:rPr>
            </w:pPr>
            <w:r>
              <w:rPr>
                <w:rFonts w:ascii="Arial" w:hAnsi="Arial" w:cs="Arial"/>
                <w:sz w:val="20"/>
                <w:szCs w:val="20"/>
              </w:rPr>
              <w:t>Liquidity</w:t>
            </w:r>
          </w:p>
        </w:tc>
        <w:tc>
          <w:tcPr>
            <w:tcW w:w="1360" w:type="dxa"/>
            <w:tcBorders>
              <w:top w:val="nil"/>
              <w:left w:val="nil"/>
              <w:bottom w:val="nil"/>
              <w:right w:val="nil"/>
            </w:tcBorders>
            <w:vAlign w:val="bottom"/>
          </w:tcPr>
          <w:p w14:paraId="448CF8F4" w14:textId="64722A72" w:rsidR="00E93716" w:rsidRPr="0026159C" w:rsidRDefault="00E93716" w:rsidP="00E93716">
            <w:pPr>
              <w:jc w:val="right"/>
              <w:rPr>
                <w:rFonts w:ascii="Arial" w:hAnsi="Arial" w:cs="Arial"/>
                <w:sz w:val="20"/>
                <w:szCs w:val="20"/>
              </w:rPr>
            </w:pPr>
            <w:r>
              <w:rPr>
                <w:rFonts w:ascii="Arial" w:hAnsi="Arial" w:cs="Arial"/>
                <w:sz w:val="20"/>
                <w:szCs w:val="20"/>
              </w:rPr>
              <w:t>18,</w:t>
            </w:r>
            <w:r w:rsidR="001667AC">
              <w:rPr>
                <w:rFonts w:ascii="Arial" w:hAnsi="Arial" w:cs="Arial"/>
                <w:sz w:val="20"/>
                <w:szCs w:val="20"/>
              </w:rPr>
              <w:t>368,303</w:t>
            </w:r>
          </w:p>
        </w:tc>
        <w:tc>
          <w:tcPr>
            <w:tcW w:w="1360" w:type="dxa"/>
            <w:tcBorders>
              <w:top w:val="nil"/>
              <w:left w:val="nil"/>
              <w:bottom w:val="nil"/>
              <w:right w:val="nil"/>
            </w:tcBorders>
            <w:vAlign w:val="bottom"/>
          </w:tcPr>
          <w:p w14:paraId="564556B3" w14:textId="69CD42ED" w:rsidR="00E93716" w:rsidRDefault="00E93716" w:rsidP="00E93716">
            <w:pPr>
              <w:jc w:val="right"/>
              <w:rPr>
                <w:rFonts w:ascii="Arial" w:hAnsi="Arial" w:cs="Arial"/>
                <w:sz w:val="20"/>
                <w:szCs w:val="20"/>
              </w:rPr>
            </w:pPr>
            <w:r>
              <w:rPr>
                <w:rFonts w:ascii="Arial" w:hAnsi="Arial" w:cs="Arial"/>
                <w:sz w:val="20"/>
                <w:szCs w:val="20"/>
              </w:rPr>
              <w:t>18,844,852</w:t>
            </w:r>
          </w:p>
        </w:tc>
        <w:tc>
          <w:tcPr>
            <w:tcW w:w="1360" w:type="dxa"/>
            <w:tcBorders>
              <w:top w:val="nil"/>
              <w:left w:val="nil"/>
              <w:bottom w:val="nil"/>
              <w:right w:val="nil"/>
            </w:tcBorders>
            <w:vAlign w:val="bottom"/>
          </w:tcPr>
          <w:p w14:paraId="50E24F9A" w14:textId="071C79B4" w:rsidR="00E93716" w:rsidRDefault="00E93716" w:rsidP="00E93716">
            <w:pPr>
              <w:jc w:val="right"/>
              <w:rPr>
                <w:rFonts w:ascii="Arial" w:hAnsi="Arial" w:cs="Arial"/>
                <w:sz w:val="20"/>
                <w:szCs w:val="20"/>
              </w:rPr>
            </w:pPr>
            <w:r>
              <w:rPr>
                <w:rFonts w:ascii="Arial" w:hAnsi="Arial" w:cs="Arial"/>
                <w:sz w:val="20"/>
                <w:szCs w:val="20"/>
              </w:rPr>
              <w:t>10,248,075</w:t>
            </w:r>
          </w:p>
        </w:tc>
      </w:tr>
      <w:tr w:rsidR="00E93716" w14:paraId="2368395B" w14:textId="77777777" w:rsidTr="00E93716">
        <w:trPr>
          <w:trHeight w:val="227"/>
        </w:trPr>
        <w:tc>
          <w:tcPr>
            <w:tcW w:w="3780" w:type="dxa"/>
            <w:tcBorders>
              <w:top w:val="nil"/>
              <w:left w:val="nil"/>
              <w:bottom w:val="nil"/>
              <w:right w:val="nil"/>
            </w:tcBorders>
            <w:shd w:val="clear" w:color="auto" w:fill="auto"/>
            <w:noWrap/>
            <w:vAlign w:val="bottom"/>
          </w:tcPr>
          <w:p w14:paraId="65FF2573" w14:textId="77777777" w:rsidR="00E93716" w:rsidRDefault="00E93716" w:rsidP="00E93716">
            <w:pPr>
              <w:rPr>
                <w:rFonts w:ascii="Arial" w:hAnsi="Arial" w:cs="Arial"/>
                <w:sz w:val="20"/>
                <w:szCs w:val="20"/>
              </w:rPr>
            </w:pPr>
          </w:p>
        </w:tc>
        <w:tc>
          <w:tcPr>
            <w:tcW w:w="1360" w:type="dxa"/>
            <w:tcBorders>
              <w:top w:val="nil"/>
              <w:left w:val="nil"/>
              <w:bottom w:val="nil"/>
              <w:right w:val="nil"/>
            </w:tcBorders>
            <w:vAlign w:val="bottom"/>
          </w:tcPr>
          <w:p w14:paraId="084C8B0B" w14:textId="77777777" w:rsidR="00E93716" w:rsidRPr="0026159C" w:rsidRDefault="00E93716" w:rsidP="00E93716">
            <w:pPr>
              <w:rPr>
                <w:rFonts w:ascii="Arial" w:hAnsi="Arial" w:cs="Arial"/>
                <w:sz w:val="20"/>
                <w:szCs w:val="20"/>
              </w:rPr>
            </w:pPr>
          </w:p>
        </w:tc>
        <w:tc>
          <w:tcPr>
            <w:tcW w:w="1360" w:type="dxa"/>
            <w:tcBorders>
              <w:top w:val="nil"/>
              <w:left w:val="nil"/>
              <w:bottom w:val="nil"/>
              <w:right w:val="nil"/>
            </w:tcBorders>
            <w:vAlign w:val="bottom"/>
          </w:tcPr>
          <w:p w14:paraId="73645470" w14:textId="77777777" w:rsidR="00E93716" w:rsidRPr="0026159C" w:rsidRDefault="00E93716" w:rsidP="00E93716">
            <w:pPr>
              <w:rPr>
                <w:rFonts w:ascii="Arial" w:hAnsi="Arial" w:cs="Arial"/>
                <w:sz w:val="20"/>
                <w:szCs w:val="20"/>
              </w:rPr>
            </w:pPr>
          </w:p>
        </w:tc>
        <w:tc>
          <w:tcPr>
            <w:tcW w:w="1360" w:type="dxa"/>
            <w:tcBorders>
              <w:top w:val="nil"/>
              <w:left w:val="nil"/>
              <w:bottom w:val="nil"/>
              <w:right w:val="nil"/>
            </w:tcBorders>
            <w:vAlign w:val="bottom"/>
          </w:tcPr>
          <w:p w14:paraId="52665C54" w14:textId="3D1BED1D" w:rsidR="00E93716" w:rsidRPr="0026159C" w:rsidRDefault="00E93716" w:rsidP="00E93716">
            <w:pPr>
              <w:rPr>
                <w:rFonts w:ascii="Arial" w:hAnsi="Arial" w:cs="Arial"/>
                <w:sz w:val="20"/>
                <w:szCs w:val="20"/>
              </w:rPr>
            </w:pPr>
          </w:p>
        </w:tc>
      </w:tr>
      <w:tr w:rsidR="00E93716" w14:paraId="10798113" w14:textId="77777777" w:rsidTr="00E93716">
        <w:trPr>
          <w:trHeight w:val="227"/>
        </w:trPr>
        <w:tc>
          <w:tcPr>
            <w:tcW w:w="3780" w:type="dxa"/>
            <w:tcBorders>
              <w:top w:val="nil"/>
              <w:left w:val="nil"/>
              <w:bottom w:val="nil"/>
              <w:right w:val="nil"/>
            </w:tcBorders>
            <w:shd w:val="clear" w:color="auto" w:fill="auto"/>
            <w:noWrap/>
            <w:vAlign w:val="bottom"/>
          </w:tcPr>
          <w:p w14:paraId="706D2A1A" w14:textId="77777777" w:rsidR="00E93716" w:rsidRDefault="00E93716" w:rsidP="00E93716">
            <w:pPr>
              <w:rPr>
                <w:rFonts w:ascii="Arial" w:hAnsi="Arial" w:cs="Arial"/>
                <w:sz w:val="20"/>
                <w:szCs w:val="20"/>
              </w:rPr>
            </w:pPr>
            <w:r>
              <w:rPr>
                <w:rFonts w:ascii="Arial" w:hAnsi="Arial" w:cs="Arial"/>
                <w:sz w:val="20"/>
                <w:szCs w:val="20"/>
              </w:rPr>
              <w:t>3 month expected loan receivables</w:t>
            </w:r>
          </w:p>
        </w:tc>
        <w:tc>
          <w:tcPr>
            <w:tcW w:w="1360" w:type="dxa"/>
            <w:tcBorders>
              <w:top w:val="nil"/>
              <w:left w:val="nil"/>
              <w:bottom w:val="nil"/>
              <w:right w:val="nil"/>
            </w:tcBorders>
            <w:vAlign w:val="bottom"/>
          </w:tcPr>
          <w:p w14:paraId="26F523AE" w14:textId="3C66B593" w:rsidR="00E93716" w:rsidRPr="0026159C" w:rsidRDefault="001667AC" w:rsidP="00E93716">
            <w:pPr>
              <w:jc w:val="right"/>
              <w:rPr>
                <w:rFonts w:ascii="Arial" w:hAnsi="Arial" w:cs="Arial"/>
                <w:sz w:val="20"/>
                <w:szCs w:val="20"/>
              </w:rPr>
            </w:pPr>
            <w:r>
              <w:rPr>
                <w:rFonts w:ascii="Arial" w:hAnsi="Arial" w:cs="Arial"/>
                <w:sz w:val="20"/>
                <w:szCs w:val="20"/>
              </w:rPr>
              <w:t>15,817,551</w:t>
            </w:r>
          </w:p>
        </w:tc>
        <w:tc>
          <w:tcPr>
            <w:tcW w:w="1360" w:type="dxa"/>
            <w:tcBorders>
              <w:top w:val="nil"/>
              <w:left w:val="nil"/>
              <w:bottom w:val="nil"/>
              <w:right w:val="nil"/>
            </w:tcBorders>
            <w:vAlign w:val="bottom"/>
          </w:tcPr>
          <w:p w14:paraId="3721A818" w14:textId="3DA1AC62" w:rsidR="00E93716" w:rsidRPr="0026159C" w:rsidRDefault="00E93716" w:rsidP="00E93716">
            <w:pPr>
              <w:jc w:val="right"/>
              <w:rPr>
                <w:rFonts w:ascii="Arial" w:hAnsi="Arial" w:cs="Arial"/>
                <w:sz w:val="20"/>
                <w:szCs w:val="20"/>
              </w:rPr>
            </w:pPr>
            <w:r>
              <w:rPr>
                <w:rFonts w:ascii="Arial" w:hAnsi="Arial" w:cs="Arial"/>
                <w:sz w:val="20"/>
                <w:szCs w:val="20"/>
              </w:rPr>
              <w:t>10,732,433</w:t>
            </w:r>
          </w:p>
        </w:tc>
        <w:tc>
          <w:tcPr>
            <w:tcW w:w="1360" w:type="dxa"/>
            <w:tcBorders>
              <w:top w:val="nil"/>
              <w:left w:val="nil"/>
              <w:bottom w:val="nil"/>
              <w:right w:val="nil"/>
            </w:tcBorders>
            <w:vAlign w:val="bottom"/>
          </w:tcPr>
          <w:p w14:paraId="26083547" w14:textId="1ECAECF1" w:rsidR="00E93716" w:rsidRPr="0026159C" w:rsidRDefault="00E93716" w:rsidP="00E93716">
            <w:pPr>
              <w:jc w:val="right"/>
              <w:rPr>
                <w:rFonts w:ascii="Arial" w:hAnsi="Arial" w:cs="Arial"/>
                <w:sz w:val="20"/>
                <w:szCs w:val="20"/>
              </w:rPr>
            </w:pPr>
            <w:r w:rsidRPr="0026159C">
              <w:rPr>
                <w:rFonts w:ascii="Arial" w:hAnsi="Arial" w:cs="Arial"/>
                <w:sz w:val="20"/>
                <w:szCs w:val="20"/>
              </w:rPr>
              <w:t xml:space="preserve">    </w:t>
            </w:r>
            <w:r>
              <w:rPr>
                <w:rFonts w:ascii="Arial" w:hAnsi="Arial" w:cs="Arial"/>
                <w:sz w:val="20"/>
                <w:szCs w:val="20"/>
              </w:rPr>
              <w:t>8,632,475</w:t>
            </w:r>
          </w:p>
        </w:tc>
      </w:tr>
      <w:tr w:rsidR="00E93716" w14:paraId="6A794B8C" w14:textId="77777777" w:rsidTr="00E93716">
        <w:trPr>
          <w:trHeight w:val="227"/>
        </w:trPr>
        <w:tc>
          <w:tcPr>
            <w:tcW w:w="3780" w:type="dxa"/>
            <w:tcBorders>
              <w:top w:val="nil"/>
              <w:left w:val="nil"/>
              <w:bottom w:val="nil"/>
              <w:right w:val="nil"/>
            </w:tcBorders>
            <w:shd w:val="clear" w:color="auto" w:fill="auto"/>
            <w:noWrap/>
            <w:vAlign w:val="bottom"/>
          </w:tcPr>
          <w:p w14:paraId="20596662" w14:textId="77777777" w:rsidR="00E93716" w:rsidRDefault="00E93716" w:rsidP="00E93716">
            <w:pPr>
              <w:rPr>
                <w:rFonts w:ascii="Arial" w:hAnsi="Arial" w:cs="Arial"/>
                <w:sz w:val="20"/>
                <w:szCs w:val="20"/>
              </w:rPr>
            </w:pPr>
            <w:proofErr w:type="gramStart"/>
            <w:r>
              <w:rPr>
                <w:rFonts w:ascii="Arial" w:hAnsi="Arial" w:cs="Arial"/>
                <w:sz w:val="20"/>
                <w:szCs w:val="20"/>
              </w:rPr>
              <w:t>3 month</w:t>
            </w:r>
            <w:proofErr w:type="gramEnd"/>
            <w:r>
              <w:rPr>
                <w:rFonts w:ascii="Arial" w:hAnsi="Arial" w:cs="Arial"/>
                <w:sz w:val="20"/>
                <w:szCs w:val="20"/>
              </w:rPr>
              <w:t xml:space="preserve"> gross deposit redemptions</w:t>
            </w:r>
          </w:p>
        </w:tc>
        <w:tc>
          <w:tcPr>
            <w:tcW w:w="1360" w:type="dxa"/>
            <w:tcBorders>
              <w:top w:val="nil"/>
              <w:left w:val="nil"/>
              <w:bottom w:val="nil"/>
              <w:right w:val="nil"/>
            </w:tcBorders>
            <w:vAlign w:val="bottom"/>
          </w:tcPr>
          <w:p w14:paraId="20B98516" w14:textId="64AC09C9" w:rsidR="00E93716" w:rsidRPr="0026159C" w:rsidRDefault="001667AC" w:rsidP="00E93716">
            <w:pPr>
              <w:jc w:val="right"/>
              <w:rPr>
                <w:rFonts w:ascii="Arial" w:hAnsi="Arial" w:cs="Arial"/>
                <w:sz w:val="20"/>
                <w:szCs w:val="20"/>
              </w:rPr>
            </w:pPr>
            <w:r>
              <w:rPr>
                <w:rFonts w:ascii="Arial" w:hAnsi="Arial" w:cs="Arial"/>
                <w:sz w:val="20"/>
                <w:szCs w:val="20"/>
              </w:rPr>
              <w:t>8,626,193</w:t>
            </w:r>
          </w:p>
        </w:tc>
        <w:tc>
          <w:tcPr>
            <w:tcW w:w="1360" w:type="dxa"/>
            <w:tcBorders>
              <w:top w:val="nil"/>
              <w:left w:val="nil"/>
              <w:bottom w:val="nil"/>
              <w:right w:val="nil"/>
            </w:tcBorders>
            <w:vAlign w:val="bottom"/>
          </w:tcPr>
          <w:p w14:paraId="5BD88D7B" w14:textId="4C76162E" w:rsidR="00E93716" w:rsidRPr="0026159C" w:rsidRDefault="00E93716" w:rsidP="00E93716">
            <w:pPr>
              <w:jc w:val="right"/>
              <w:rPr>
                <w:rFonts w:ascii="Arial" w:hAnsi="Arial" w:cs="Arial"/>
                <w:sz w:val="20"/>
                <w:szCs w:val="20"/>
              </w:rPr>
            </w:pPr>
            <w:r>
              <w:rPr>
                <w:rFonts w:ascii="Arial" w:hAnsi="Arial" w:cs="Arial"/>
                <w:sz w:val="20"/>
                <w:szCs w:val="20"/>
              </w:rPr>
              <w:t>6,519,455</w:t>
            </w:r>
          </w:p>
        </w:tc>
        <w:tc>
          <w:tcPr>
            <w:tcW w:w="1360" w:type="dxa"/>
            <w:tcBorders>
              <w:top w:val="nil"/>
              <w:left w:val="nil"/>
              <w:bottom w:val="nil"/>
              <w:right w:val="nil"/>
            </w:tcBorders>
            <w:vAlign w:val="bottom"/>
          </w:tcPr>
          <w:p w14:paraId="6532E581" w14:textId="0134F65D" w:rsidR="00E93716" w:rsidRPr="0026159C" w:rsidRDefault="00E93716" w:rsidP="00E93716">
            <w:pPr>
              <w:jc w:val="right"/>
              <w:rPr>
                <w:rFonts w:ascii="Arial" w:hAnsi="Arial" w:cs="Arial"/>
                <w:sz w:val="20"/>
                <w:szCs w:val="20"/>
              </w:rPr>
            </w:pPr>
            <w:r>
              <w:rPr>
                <w:rFonts w:ascii="Arial" w:hAnsi="Arial" w:cs="Arial"/>
                <w:sz w:val="20"/>
                <w:szCs w:val="20"/>
              </w:rPr>
              <w:t>5,317,605</w:t>
            </w:r>
          </w:p>
        </w:tc>
      </w:tr>
      <w:tr w:rsidR="00E93716" w14:paraId="3243027E" w14:textId="77777777" w:rsidTr="00E93716">
        <w:trPr>
          <w:trHeight w:val="227"/>
        </w:trPr>
        <w:tc>
          <w:tcPr>
            <w:tcW w:w="3780" w:type="dxa"/>
            <w:tcBorders>
              <w:top w:val="nil"/>
              <w:left w:val="nil"/>
              <w:bottom w:val="nil"/>
              <w:right w:val="nil"/>
            </w:tcBorders>
            <w:shd w:val="clear" w:color="auto" w:fill="auto"/>
            <w:noWrap/>
            <w:vAlign w:val="bottom"/>
          </w:tcPr>
          <w:p w14:paraId="4A541CB1" w14:textId="77777777" w:rsidR="00E93716" w:rsidRDefault="00E93716" w:rsidP="00E93716">
            <w:pPr>
              <w:rPr>
                <w:rFonts w:ascii="Arial" w:hAnsi="Arial" w:cs="Arial"/>
                <w:sz w:val="20"/>
                <w:szCs w:val="20"/>
              </w:rPr>
            </w:pPr>
          </w:p>
        </w:tc>
        <w:tc>
          <w:tcPr>
            <w:tcW w:w="1360" w:type="dxa"/>
            <w:tcBorders>
              <w:top w:val="nil"/>
              <w:left w:val="nil"/>
              <w:bottom w:val="nil"/>
              <w:right w:val="nil"/>
            </w:tcBorders>
            <w:vAlign w:val="bottom"/>
          </w:tcPr>
          <w:p w14:paraId="17DD7C2F" w14:textId="77777777" w:rsidR="00E93716" w:rsidRDefault="00E93716" w:rsidP="00E93716">
            <w:pPr>
              <w:rPr>
                <w:rFonts w:ascii="Arial" w:hAnsi="Arial" w:cs="Arial"/>
                <w:sz w:val="20"/>
                <w:szCs w:val="20"/>
              </w:rPr>
            </w:pPr>
          </w:p>
        </w:tc>
        <w:tc>
          <w:tcPr>
            <w:tcW w:w="1360" w:type="dxa"/>
            <w:tcBorders>
              <w:top w:val="nil"/>
              <w:left w:val="nil"/>
              <w:bottom w:val="nil"/>
              <w:right w:val="nil"/>
            </w:tcBorders>
            <w:vAlign w:val="bottom"/>
          </w:tcPr>
          <w:p w14:paraId="4D785EE2" w14:textId="77777777" w:rsidR="00E93716" w:rsidRDefault="00E93716" w:rsidP="00E93716">
            <w:pPr>
              <w:rPr>
                <w:rFonts w:ascii="Arial" w:hAnsi="Arial" w:cs="Arial"/>
                <w:sz w:val="20"/>
                <w:szCs w:val="20"/>
              </w:rPr>
            </w:pPr>
          </w:p>
        </w:tc>
        <w:tc>
          <w:tcPr>
            <w:tcW w:w="1360" w:type="dxa"/>
            <w:tcBorders>
              <w:top w:val="nil"/>
              <w:left w:val="nil"/>
              <w:bottom w:val="nil"/>
              <w:right w:val="nil"/>
            </w:tcBorders>
            <w:vAlign w:val="bottom"/>
          </w:tcPr>
          <w:p w14:paraId="243C99D1" w14:textId="1DB896A8" w:rsidR="00E93716" w:rsidRDefault="00E93716" w:rsidP="00E93716">
            <w:pPr>
              <w:rPr>
                <w:rFonts w:ascii="Arial" w:hAnsi="Arial" w:cs="Arial"/>
                <w:sz w:val="20"/>
                <w:szCs w:val="20"/>
              </w:rPr>
            </w:pPr>
          </w:p>
        </w:tc>
      </w:tr>
      <w:tr w:rsidR="00E93716" w14:paraId="462EE34B" w14:textId="77777777" w:rsidTr="00E93716">
        <w:trPr>
          <w:trHeight w:val="227"/>
        </w:trPr>
        <w:tc>
          <w:tcPr>
            <w:tcW w:w="3780" w:type="dxa"/>
            <w:tcBorders>
              <w:top w:val="nil"/>
              <w:left w:val="nil"/>
              <w:bottom w:val="nil"/>
              <w:right w:val="nil"/>
            </w:tcBorders>
            <w:shd w:val="clear" w:color="auto" w:fill="auto"/>
            <w:noWrap/>
            <w:vAlign w:val="bottom"/>
          </w:tcPr>
          <w:p w14:paraId="4FC37743" w14:textId="785FDC1E" w:rsidR="00E93716" w:rsidRDefault="00E93716" w:rsidP="00E93716">
            <w:pPr>
              <w:rPr>
                <w:rFonts w:ascii="Arial" w:hAnsi="Arial" w:cs="Arial"/>
                <w:b/>
                <w:bCs/>
                <w:sz w:val="20"/>
                <w:szCs w:val="20"/>
              </w:rPr>
            </w:pPr>
            <w:r>
              <w:rPr>
                <w:rFonts w:ascii="Arial" w:hAnsi="Arial" w:cs="Arial"/>
                <w:b/>
                <w:bCs/>
                <w:sz w:val="20"/>
                <w:szCs w:val="20"/>
              </w:rPr>
              <w:t>Liquidity Cover Ratio (times)</w:t>
            </w:r>
            <w:r w:rsidRPr="00A55F81">
              <w:rPr>
                <w:rFonts w:ascii="Arial" w:hAnsi="Arial" w:cs="Arial"/>
                <w:b/>
                <w:bCs/>
                <w:sz w:val="20"/>
                <w:szCs w:val="20"/>
                <w:vertAlign w:val="superscript"/>
              </w:rPr>
              <w:t>1</w:t>
            </w:r>
          </w:p>
        </w:tc>
        <w:tc>
          <w:tcPr>
            <w:tcW w:w="1360" w:type="dxa"/>
            <w:tcBorders>
              <w:top w:val="nil"/>
              <w:left w:val="nil"/>
              <w:bottom w:val="nil"/>
              <w:right w:val="nil"/>
            </w:tcBorders>
            <w:vAlign w:val="bottom"/>
          </w:tcPr>
          <w:p w14:paraId="18C316DD" w14:textId="3905DB3D" w:rsidR="00E93716" w:rsidRDefault="00E93716" w:rsidP="00E93716">
            <w:pPr>
              <w:jc w:val="right"/>
              <w:rPr>
                <w:rFonts w:ascii="Arial" w:hAnsi="Arial" w:cs="Arial"/>
                <w:b/>
                <w:bCs/>
                <w:sz w:val="20"/>
                <w:szCs w:val="20"/>
              </w:rPr>
            </w:pPr>
            <w:r>
              <w:rPr>
                <w:rFonts w:ascii="Arial" w:hAnsi="Arial" w:cs="Arial"/>
                <w:b/>
                <w:bCs/>
                <w:sz w:val="20"/>
                <w:szCs w:val="20"/>
              </w:rPr>
              <w:t>4.</w:t>
            </w:r>
            <w:r w:rsidR="001667AC">
              <w:rPr>
                <w:rFonts w:ascii="Arial" w:hAnsi="Arial" w:cs="Arial"/>
                <w:b/>
                <w:bCs/>
                <w:sz w:val="20"/>
                <w:szCs w:val="20"/>
              </w:rPr>
              <w:t>0</w:t>
            </w:r>
            <w:r>
              <w:rPr>
                <w:rFonts w:ascii="Arial" w:hAnsi="Arial" w:cs="Arial"/>
                <w:b/>
                <w:bCs/>
                <w:sz w:val="20"/>
                <w:szCs w:val="20"/>
              </w:rPr>
              <w:t xml:space="preserve"> </w:t>
            </w:r>
          </w:p>
        </w:tc>
        <w:tc>
          <w:tcPr>
            <w:tcW w:w="1360" w:type="dxa"/>
            <w:tcBorders>
              <w:top w:val="nil"/>
              <w:left w:val="nil"/>
              <w:bottom w:val="nil"/>
              <w:right w:val="nil"/>
            </w:tcBorders>
            <w:vAlign w:val="bottom"/>
          </w:tcPr>
          <w:p w14:paraId="3B7ACC66" w14:textId="7D93BFBC" w:rsidR="00E93716" w:rsidRDefault="00E93716" w:rsidP="00E93716">
            <w:pPr>
              <w:jc w:val="right"/>
              <w:rPr>
                <w:rFonts w:ascii="Arial" w:hAnsi="Arial" w:cs="Arial"/>
                <w:b/>
                <w:bCs/>
                <w:sz w:val="20"/>
                <w:szCs w:val="20"/>
              </w:rPr>
            </w:pPr>
            <w:r>
              <w:rPr>
                <w:rFonts w:ascii="Arial" w:hAnsi="Arial" w:cs="Arial"/>
                <w:b/>
                <w:bCs/>
                <w:sz w:val="20"/>
                <w:szCs w:val="20"/>
              </w:rPr>
              <w:t xml:space="preserve">4.5 </w:t>
            </w:r>
          </w:p>
        </w:tc>
        <w:tc>
          <w:tcPr>
            <w:tcW w:w="1360" w:type="dxa"/>
            <w:tcBorders>
              <w:top w:val="nil"/>
              <w:left w:val="nil"/>
              <w:bottom w:val="nil"/>
              <w:right w:val="nil"/>
            </w:tcBorders>
            <w:vAlign w:val="bottom"/>
          </w:tcPr>
          <w:p w14:paraId="5DCB0BC6" w14:textId="42E61BBA" w:rsidR="00E93716" w:rsidRDefault="00E93716" w:rsidP="00E93716">
            <w:pPr>
              <w:jc w:val="right"/>
              <w:rPr>
                <w:rFonts w:ascii="Arial" w:hAnsi="Arial" w:cs="Arial"/>
                <w:b/>
                <w:bCs/>
                <w:sz w:val="20"/>
                <w:szCs w:val="20"/>
              </w:rPr>
            </w:pPr>
            <w:r>
              <w:rPr>
                <w:rFonts w:ascii="Arial" w:hAnsi="Arial" w:cs="Arial"/>
                <w:b/>
                <w:bCs/>
                <w:sz w:val="20"/>
                <w:szCs w:val="20"/>
              </w:rPr>
              <w:t xml:space="preserve">3.6 </w:t>
            </w:r>
          </w:p>
        </w:tc>
      </w:tr>
    </w:tbl>
    <w:p w14:paraId="0FD297FB" w14:textId="77777777" w:rsidR="0006682A" w:rsidRDefault="0006682A" w:rsidP="0006682A">
      <w:pPr>
        <w:rPr>
          <w:rFonts w:ascii="Arial" w:eastAsia="TimesNewRomanPSMT-Identity-H" w:hAnsi="Arial" w:cs="TimesNewRomanPSMT-Identity-H"/>
          <w:b/>
          <w:sz w:val="20"/>
          <w:szCs w:val="20"/>
        </w:rPr>
      </w:pPr>
    </w:p>
    <w:p w14:paraId="1D1D2298" w14:textId="76B90D65" w:rsidR="0006682A" w:rsidRDefault="00A55F81" w:rsidP="0006682A">
      <w:pPr>
        <w:rPr>
          <w:rFonts w:ascii="Arial" w:eastAsia="TimesNewRomanPSMT-Identity-H" w:hAnsi="Arial" w:cs="TimesNewRomanPSMT-Identity-H"/>
          <w:b/>
          <w:sz w:val="20"/>
          <w:szCs w:val="20"/>
        </w:rPr>
      </w:pPr>
      <w:r>
        <w:rPr>
          <w:rFonts w:ascii="Arial" w:hAnsi="Arial" w:cs="Arial"/>
          <w:sz w:val="20"/>
          <w:szCs w:val="20"/>
          <w:vertAlign w:val="superscript"/>
        </w:rPr>
        <w:t>1</w:t>
      </w:r>
      <w:r w:rsidR="0006682A" w:rsidRPr="008532D0">
        <w:rPr>
          <w:rFonts w:ascii="Arial" w:hAnsi="Arial" w:cs="Arial"/>
          <w:sz w:val="20"/>
          <w:szCs w:val="20"/>
        </w:rPr>
        <w:t xml:space="preserve">The Liquidity Cover Ratio is calculated by dividing </w:t>
      </w:r>
      <w:r w:rsidR="0006682A">
        <w:rPr>
          <w:rFonts w:ascii="Arial" w:hAnsi="Arial" w:cs="Arial"/>
          <w:sz w:val="20"/>
          <w:szCs w:val="20"/>
        </w:rPr>
        <w:t>Liquidity</w:t>
      </w:r>
      <w:r w:rsidR="0006682A" w:rsidRPr="008532D0">
        <w:rPr>
          <w:rFonts w:ascii="Arial" w:hAnsi="Arial" w:cs="Arial"/>
          <w:sz w:val="20"/>
          <w:szCs w:val="20"/>
        </w:rPr>
        <w:t xml:space="preserve"> plus </w:t>
      </w:r>
      <w:r w:rsidR="0006682A">
        <w:rPr>
          <w:rFonts w:ascii="Arial" w:hAnsi="Arial" w:cs="Arial"/>
          <w:sz w:val="20"/>
          <w:szCs w:val="20"/>
        </w:rPr>
        <w:t>the 3 month expected loan receivables,</w:t>
      </w:r>
      <w:r w:rsidR="0006682A" w:rsidRPr="008532D0">
        <w:rPr>
          <w:rFonts w:ascii="Arial" w:hAnsi="Arial" w:cs="Arial"/>
          <w:sz w:val="20"/>
          <w:szCs w:val="20"/>
        </w:rPr>
        <w:t xml:space="preserve"> by the </w:t>
      </w:r>
      <w:proofErr w:type="gramStart"/>
      <w:r w:rsidR="0006682A">
        <w:rPr>
          <w:rFonts w:ascii="Arial" w:hAnsi="Arial" w:cs="Arial"/>
          <w:sz w:val="20"/>
          <w:szCs w:val="20"/>
        </w:rPr>
        <w:t>3 month</w:t>
      </w:r>
      <w:proofErr w:type="gramEnd"/>
      <w:r w:rsidR="00585CDD">
        <w:rPr>
          <w:rFonts w:ascii="Arial" w:hAnsi="Arial" w:cs="Arial"/>
          <w:sz w:val="20"/>
          <w:szCs w:val="20"/>
        </w:rPr>
        <w:t xml:space="preserve"> expected</w:t>
      </w:r>
      <w:r w:rsidR="0006682A">
        <w:rPr>
          <w:rFonts w:ascii="Arial" w:hAnsi="Arial" w:cs="Arial"/>
          <w:sz w:val="20"/>
          <w:szCs w:val="20"/>
        </w:rPr>
        <w:t xml:space="preserve"> gross deposit redemptions.</w:t>
      </w:r>
      <w:r w:rsidR="0006682A">
        <w:rPr>
          <w:rFonts w:ascii="Arial" w:eastAsia="TimesNewRomanPSMT-Identity-H" w:hAnsi="Arial" w:cs="TimesNewRomanPSMT-Identity-H"/>
          <w:b/>
          <w:sz w:val="20"/>
          <w:szCs w:val="20"/>
        </w:rPr>
        <w:t xml:space="preserve"> </w:t>
      </w:r>
    </w:p>
    <w:p w14:paraId="01C4F3B8" w14:textId="77777777" w:rsidR="0006682A" w:rsidRDefault="0006682A" w:rsidP="0006682A">
      <w:pPr>
        <w:rPr>
          <w:rFonts w:ascii="Arial" w:eastAsia="TimesNewRomanPSMT-Identity-H" w:hAnsi="Arial" w:cs="TimesNewRomanPSMT-Identity-H"/>
          <w:b/>
          <w:sz w:val="20"/>
          <w:szCs w:val="20"/>
        </w:rPr>
      </w:pPr>
    </w:p>
    <w:p w14:paraId="7BC68CCB" w14:textId="77777777" w:rsidR="00966ABC" w:rsidRPr="003A4EB3" w:rsidRDefault="00966ABC" w:rsidP="0006682A">
      <w:pPr>
        <w:rPr>
          <w:rFonts w:ascii="Arial" w:eastAsia="TimesNewRomanPSMT-Identity-H" w:hAnsi="Arial" w:cs="TimesNewRomanPSMT-Identity-H"/>
          <w:sz w:val="16"/>
          <w:szCs w:val="16"/>
        </w:rPr>
      </w:pPr>
    </w:p>
    <w:sectPr w:rsidR="00966ABC" w:rsidRPr="003A4EB3" w:rsidSect="00276A36">
      <w:headerReference w:type="default" r:id="rId8"/>
      <w:footerReference w:type="default" r:id="rId9"/>
      <w:pgSz w:w="11907" w:h="16840" w:code="9"/>
      <w:pgMar w:top="1440" w:right="1800" w:bottom="1080" w:left="1800" w:header="70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68583" w14:textId="77777777" w:rsidR="00AD4FD7" w:rsidRDefault="00AD4FD7" w:rsidP="00BE3FC1">
      <w:r>
        <w:separator/>
      </w:r>
    </w:p>
  </w:endnote>
  <w:endnote w:type="continuationSeparator" w:id="0">
    <w:p w14:paraId="01755907" w14:textId="77777777" w:rsidR="00AD4FD7" w:rsidRDefault="00AD4FD7" w:rsidP="00BE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7A41F" w14:textId="4DF7A67E" w:rsidR="007B0138" w:rsidRPr="001F5F82" w:rsidRDefault="007B0138" w:rsidP="001F5F82">
    <w:pPr>
      <w:pStyle w:val="Footer"/>
      <w:tabs>
        <w:tab w:val="clear" w:pos="4513"/>
        <w:tab w:val="clear" w:pos="9026"/>
        <w:tab w:val="center" w:pos="4153"/>
      </w:tabs>
      <w:rPr>
        <w:rFonts w:ascii="Arial" w:hAnsi="Arial"/>
        <w:sz w:val="16"/>
        <w:szCs w:val="16"/>
      </w:rPr>
    </w:pPr>
    <w:r w:rsidRPr="001F5F82">
      <w:rPr>
        <w:rFonts w:ascii="Arial" w:hAnsi="Arial"/>
        <w:sz w:val="16"/>
        <w:szCs w:val="16"/>
      </w:rPr>
      <w:t>Issue</w:t>
    </w:r>
    <w:r>
      <w:rPr>
        <w:rFonts w:ascii="Arial" w:hAnsi="Arial"/>
        <w:sz w:val="16"/>
        <w:szCs w:val="16"/>
      </w:rPr>
      <w:t xml:space="preserve"> </w:t>
    </w:r>
    <w:r w:rsidR="00C62C60">
      <w:rPr>
        <w:rFonts w:ascii="Arial" w:hAnsi="Arial"/>
        <w:sz w:val="16"/>
        <w:szCs w:val="16"/>
      </w:rPr>
      <w:t>1</w:t>
    </w:r>
    <w:r w:rsidR="009E6EEF">
      <w:rPr>
        <w:rFonts w:ascii="Arial" w:hAnsi="Arial"/>
        <w:sz w:val="16"/>
        <w:szCs w:val="16"/>
      </w:rPr>
      <w:t>2</w:t>
    </w:r>
    <w:r w:rsidRPr="001F5F82">
      <w:rPr>
        <w:rFonts w:ascii="Arial" w:hAnsi="Arial"/>
        <w:sz w:val="16"/>
        <w:szCs w:val="16"/>
      </w:rPr>
      <w:tab/>
      <w:t xml:space="preserve"> </w:t>
    </w:r>
    <w:r>
      <w:rPr>
        <w:rFonts w:ascii="Arial" w:hAnsi="Arial"/>
        <w:sz w:val="16"/>
        <w:szCs w:val="16"/>
      </w:rPr>
      <w:tab/>
    </w:r>
    <w:r>
      <w:rPr>
        <w:rFonts w:ascii="Arial" w:hAnsi="Arial"/>
        <w:sz w:val="16"/>
        <w:szCs w:val="16"/>
      </w:rPr>
      <w:tab/>
    </w:r>
    <w:r>
      <w:rPr>
        <w:rFonts w:ascii="Arial" w:hAnsi="Arial"/>
        <w:sz w:val="16"/>
        <w:szCs w:val="16"/>
      </w:rPr>
      <w:tab/>
      <w:t xml:space="preserve">                  </w:t>
    </w:r>
    <w:r w:rsidR="00543335">
      <w:rPr>
        <w:rFonts w:ascii="Arial" w:hAnsi="Arial"/>
        <w:sz w:val="16"/>
        <w:szCs w:val="16"/>
      </w:rPr>
      <w:t>2</w:t>
    </w:r>
    <w:r w:rsidR="00466D6E">
      <w:rPr>
        <w:rFonts w:ascii="Arial" w:hAnsi="Arial"/>
        <w:sz w:val="16"/>
        <w:szCs w:val="16"/>
      </w:rPr>
      <w:t>7</w:t>
    </w:r>
    <w:r w:rsidR="00466ED9">
      <w:rPr>
        <w:rFonts w:ascii="Arial" w:hAnsi="Arial"/>
        <w:sz w:val="16"/>
        <w:szCs w:val="16"/>
      </w:rPr>
      <w:t xml:space="preserve"> </w:t>
    </w:r>
    <w:r>
      <w:rPr>
        <w:rFonts w:ascii="Arial" w:hAnsi="Arial"/>
        <w:sz w:val="16"/>
        <w:szCs w:val="16"/>
      </w:rPr>
      <w:t>July 20</w:t>
    </w:r>
    <w:r w:rsidR="007C7B00">
      <w:rPr>
        <w:rFonts w:ascii="Arial" w:hAnsi="Arial"/>
        <w:sz w:val="16"/>
        <w:szCs w:val="16"/>
      </w:rPr>
      <w:t>2</w:t>
    </w:r>
    <w:r w:rsidR="009E6EEF">
      <w:rPr>
        <w:rFonts w:ascii="Arial" w:hAnsi="Arial"/>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5BB48" w14:textId="77777777" w:rsidR="00AD4FD7" w:rsidRDefault="00AD4FD7" w:rsidP="00BE3FC1">
      <w:r>
        <w:separator/>
      </w:r>
    </w:p>
  </w:footnote>
  <w:footnote w:type="continuationSeparator" w:id="0">
    <w:p w14:paraId="4FB2ADAB" w14:textId="77777777" w:rsidR="00AD4FD7" w:rsidRDefault="00AD4FD7" w:rsidP="00BE3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072EF" w14:textId="32B5C656" w:rsidR="007B0138" w:rsidRDefault="00DA4F62">
    <w:pPr>
      <w:pStyle w:val="Header"/>
    </w:pPr>
    <w:r>
      <w:rPr>
        <w:noProof/>
      </w:rPr>
      <w:drawing>
        <wp:inline distT="0" distB="0" distL="0" distR="0" wp14:anchorId="38A9FD44" wp14:editId="4EEB44A8">
          <wp:extent cx="1857375" cy="753269"/>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4" cy="764859"/>
                  </a:xfrm>
                  <a:prstGeom prst="rect">
                    <a:avLst/>
                  </a:prstGeom>
                  <a:noFill/>
                  <a:ln>
                    <a:noFill/>
                  </a:ln>
                </pic:spPr>
              </pic:pic>
            </a:graphicData>
          </a:graphic>
        </wp:inline>
      </w:drawing>
    </w:r>
  </w:p>
  <w:p w14:paraId="70C984B3" w14:textId="77777777" w:rsidR="007B0138" w:rsidRDefault="007B0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078AC"/>
    <w:multiLevelType w:val="hybridMultilevel"/>
    <w:tmpl w:val="D2E421E6"/>
    <w:lvl w:ilvl="0" w:tplc="B37E7004">
      <w:start w:val="14"/>
      <w:numFmt w:val="bullet"/>
      <w:lvlText w:val=""/>
      <w:lvlJc w:val="left"/>
      <w:pPr>
        <w:tabs>
          <w:tab w:val="num" w:pos="720"/>
        </w:tabs>
        <w:ind w:left="720" w:hanging="360"/>
      </w:pPr>
      <w:rPr>
        <w:rFonts w:ascii="Symbol" w:eastAsia="TimesNewRomanPSMT-Identity-H" w:hAnsi="Symbol" w:cs="TimesNewRomanPSMT-Identity-H"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86501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A26"/>
    <w:rsid w:val="000040AC"/>
    <w:rsid w:val="00004B0C"/>
    <w:rsid w:val="0000728A"/>
    <w:rsid w:val="000074B9"/>
    <w:rsid w:val="000123C1"/>
    <w:rsid w:val="00012CE4"/>
    <w:rsid w:val="00012DF5"/>
    <w:rsid w:val="00014D4D"/>
    <w:rsid w:val="00015B9C"/>
    <w:rsid w:val="00016073"/>
    <w:rsid w:val="000172F7"/>
    <w:rsid w:val="00017837"/>
    <w:rsid w:val="00022998"/>
    <w:rsid w:val="0002351B"/>
    <w:rsid w:val="000242BB"/>
    <w:rsid w:val="00025373"/>
    <w:rsid w:val="00025FAD"/>
    <w:rsid w:val="00026392"/>
    <w:rsid w:val="000267D1"/>
    <w:rsid w:val="00026B47"/>
    <w:rsid w:val="000276E5"/>
    <w:rsid w:val="0003003A"/>
    <w:rsid w:val="0003021C"/>
    <w:rsid w:val="00032B98"/>
    <w:rsid w:val="00033639"/>
    <w:rsid w:val="000346F8"/>
    <w:rsid w:val="000362F2"/>
    <w:rsid w:val="00036668"/>
    <w:rsid w:val="00036E34"/>
    <w:rsid w:val="00037C70"/>
    <w:rsid w:val="00041574"/>
    <w:rsid w:val="00041BDA"/>
    <w:rsid w:val="000427FE"/>
    <w:rsid w:val="00043199"/>
    <w:rsid w:val="000446EB"/>
    <w:rsid w:val="00045361"/>
    <w:rsid w:val="0004629D"/>
    <w:rsid w:val="00047264"/>
    <w:rsid w:val="0004793A"/>
    <w:rsid w:val="00047EBD"/>
    <w:rsid w:val="00050395"/>
    <w:rsid w:val="00050730"/>
    <w:rsid w:val="00054D2B"/>
    <w:rsid w:val="000555BB"/>
    <w:rsid w:val="000578BD"/>
    <w:rsid w:val="000625CE"/>
    <w:rsid w:val="000644BE"/>
    <w:rsid w:val="00064E51"/>
    <w:rsid w:val="0006569C"/>
    <w:rsid w:val="0006682A"/>
    <w:rsid w:val="00066945"/>
    <w:rsid w:val="00066EEE"/>
    <w:rsid w:val="00067237"/>
    <w:rsid w:val="00067DE0"/>
    <w:rsid w:val="00070CC4"/>
    <w:rsid w:val="00072817"/>
    <w:rsid w:val="00072BBB"/>
    <w:rsid w:val="00074137"/>
    <w:rsid w:val="0007559F"/>
    <w:rsid w:val="000764D7"/>
    <w:rsid w:val="00084F3F"/>
    <w:rsid w:val="00085D57"/>
    <w:rsid w:val="0008648F"/>
    <w:rsid w:val="00086A37"/>
    <w:rsid w:val="00091519"/>
    <w:rsid w:val="00094E4D"/>
    <w:rsid w:val="00096A62"/>
    <w:rsid w:val="00097044"/>
    <w:rsid w:val="00097364"/>
    <w:rsid w:val="00097C4C"/>
    <w:rsid w:val="000A0167"/>
    <w:rsid w:val="000A1C3C"/>
    <w:rsid w:val="000A2412"/>
    <w:rsid w:val="000A4813"/>
    <w:rsid w:val="000A571D"/>
    <w:rsid w:val="000A64C1"/>
    <w:rsid w:val="000A67F3"/>
    <w:rsid w:val="000A7967"/>
    <w:rsid w:val="000B07A0"/>
    <w:rsid w:val="000B257B"/>
    <w:rsid w:val="000B3231"/>
    <w:rsid w:val="000B5F3E"/>
    <w:rsid w:val="000C4E9A"/>
    <w:rsid w:val="000C71D9"/>
    <w:rsid w:val="000C7571"/>
    <w:rsid w:val="000D0061"/>
    <w:rsid w:val="000D0C52"/>
    <w:rsid w:val="000D33C9"/>
    <w:rsid w:val="000D3E44"/>
    <w:rsid w:val="000E0103"/>
    <w:rsid w:val="000E070A"/>
    <w:rsid w:val="000E222E"/>
    <w:rsid w:val="000E313E"/>
    <w:rsid w:val="000E4108"/>
    <w:rsid w:val="000E6D06"/>
    <w:rsid w:val="000E763E"/>
    <w:rsid w:val="000F1DA0"/>
    <w:rsid w:val="000F2F8D"/>
    <w:rsid w:val="000F6D32"/>
    <w:rsid w:val="00102826"/>
    <w:rsid w:val="00103D67"/>
    <w:rsid w:val="001047CA"/>
    <w:rsid w:val="00105F04"/>
    <w:rsid w:val="00106959"/>
    <w:rsid w:val="001077C4"/>
    <w:rsid w:val="00110CDB"/>
    <w:rsid w:val="00110DA1"/>
    <w:rsid w:val="00114B4A"/>
    <w:rsid w:val="00115AC4"/>
    <w:rsid w:val="00116DEB"/>
    <w:rsid w:val="00117553"/>
    <w:rsid w:val="00117DC9"/>
    <w:rsid w:val="0012243F"/>
    <w:rsid w:val="0012319C"/>
    <w:rsid w:val="00123477"/>
    <w:rsid w:val="001234D8"/>
    <w:rsid w:val="00125C6D"/>
    <w:rsid w:val="00130FF7"/>
    <w:rsid w:val="00131E2C"/>
    <w:rsid w:val="00132606"/>
    <w:rsid w:val="00134063"/>
    <w:rsid w:val="00134148"/>
    <w:rsid w:val="00134689"/>
    <w:rsid w:val="001347A4"/>
    <w:rsid w:val="001412B6"/>
    <w:rsid w:val="00142768"/>
    <w:rsid w:val="00143811"/>
    <w:rsid w:val="00143B43"/>
    <w:rsid w:val="00144A81"/>
    <w:rsid w:val="001509F1"/>
    <w:rsid w:val="00152BA5"/>
    <w:rsid w:val="0015363D"/>
    <w:rsid w:val="0015447A"/>
    <w:rsid w:val="0015671F"/>
    <w:rsid w:val="00156953"/>
    <w:rsid w:val="00157662"/>
    <w:rsid w:val="00160A7C"/>
    <w:rsid w:val="00161163"/>
    <w:rsid w:val="00161C98"/>
    <w:rsid w:val="00163992"/>
    <w:rsid w:val="00163E36"/>
    <w:rsid w:val="001667AC"/>
    <w:rsid w:val="00170325"/>
    <w:rsid w:val="00170F8E"/>
    <w:rsid w:val="00171F19"/>
    <w:rsid w:val="001737DC"/>
    <w:rsid w:val="00173D48"/>
    <w:rsid w:val="001754A9"/>
    <w:rsid w:val="0017671D"/>
    <w:rsid w:val="00176B7A"/>
    <w:rsid w:val="00177CF1"/>
    <w:rsid w:val="00182FCB"/>
    <w:rsid w:val="00183A5B"/>
    <w:rsid w:val="001844F4"/>
    <w:rsid w:val="0019058C"/>
    <w:rsid w:val="0019147B"/>
    <w:rsid w:val="00191B01"/>
    <w:rsid w:val="00192DA8"/>
    <w:rsid w:val="00193353"/>
    <w:rsid w:val="001939C6"/>
    <w:rsid w:val="00193CB6"/>
    <w:rsid w:val="00193D7E"/>
    <w:rsid w:val="00193E9B"/>
    <w:rsid w:val="00195481"/>
    <w:rsid w:val="00195F2D"/>
    <w:rsid w:val="00197981"/>
    <w:rsid w:val="001A2B28"/>
    <w:rsid w:val="001A2CAC"/>
    <w:rsid w:val="001A382D"/>
    <w:rsid w:val="001A3C91"/>
    <w:rsid w:val="001A414A"/>
    <w:rsid w:val="001A4C72"/>
    <w:rsid w:val="001A4CA2"/>
    <w:rsid w:val="001A5A9B"/>
    <w:rsid w:val="001A7001"/>
    <w:rsid w:val="001A7058"/>
    <w:rsid w:val="001B1F57"/>
    <w:rsid w:val="001B2F2A"/>
    <w:rsid w:val="001B3258"/>
    <w:rsid w:val="001B544F"/>
    <w:rsid w:val="001B5D02"/>
    <w:rsid w:val="001B6125"/>
    <w:rsid w:val="001B6B61"/>
    <w:rsid w:val="001C06EA"/>
    <w:rsid w:val="001C08EA"/>
    <w:rsid w:val="001C2C68"/>
    <w:rsid w:val="001C4A8E"/>
    <w:rsid w:val="001C53A0"/>
    <w:rsid w:val="001C5CAC"/>
    <w:rsid w:val="001C69A6"/>
    <w:rsid w:val="001D167E"/>
    <w:rsid w:val="001D1A47"/>
    <w:rsid w:val="001D2825"/>
    <w:rsid w:val="001D3E2C"/>
    <w:rsid w:val="001D5568"/>
    <w:rsid w:val="001D69C2"/>
    <w:rsid w:val="001D6CA0"/>
    <w:rsid w:val="001D75E5"/>
    <w:rsid w:val="001E1BAA"/>
    <w:rsid w:val="001E2DD6"/>
    <w:rsid w:val="001E4FD2"/>
    <w:rsid w:val="001E5DC9"/>
    <w:rsid w:val="001E60B0"/>
    <w:rsid w:val="001E75C7"/>
    <w:rsid w:val="001F34D7"/>
    <w:rsid w:val="001F3C8E"/>
    <w:rsid w:val="001F4A1D"/>
    <w:rsid w:val="001F5F82"/>
    <w:rsid w:val="00200A34"/>
    <w:rsid w:val="00201034"/>
    <w:rsid w:val="00202F67"/>
    <w:rsid w:val="00203DEB"/>
    <w:rsid w:val="0020552B"/>
    <w:rsid w:val="00210C45"/>
    <w:rsid w:val="00211860"/>
    <w:rsid w:val="002142D0"/>
    <w:rsid w:val="00215284"/>
    <w:rsid w:val="00216A77"/>
    <w:rsid w:val="0022101A"/>
    <w:rsid w:val="00221AAA"/>
    <w:rsid w:val="00222E3C"/>
    <w:rsid w:val="002257E2"/>
    <w:rsid w:val="00225BB8"/>
    <w:rsid w:val="002329A3"/>
    <w:rsid w:val="00235DE4"/>
    <w:rsid w:val="00236677"/>
    <w:rsid w:val="00237382"/>
    <w:rsid w:val="002376C8"/>
    <w:rsid w:val="00237EAE"/>
    <w:rsid w:val="00243AC9"/>
    <w:rsid w:val="002459E8"/>
    <w:rsid w:val="0025168A"/>
    <w:rsid w:val="00251F9E"/>
    <w:rsid w:val="00252584"/>
    <w:rsid w:val="0025366B"/>
    <w:rsid w:val="00254B3A"/>
    <w:rsid w:val="00257B0D"/>
    <w:rsid w:val="00260B4F"/>
    <w:rsid w:val="0026159C"/>
    <w:rsid w:val="002622A1"/>
    <w:rsid w:val="00265A93"/>
    <w:rsid w:val="002661C4"/>
    <w:rsid w:val="002673D8"/>
    <w:rsid w:val="00270502"/>
    <w:rsid w:val="00270ACD"/>
    <w:rsid w:val="00270ED7"/>
    <w:rsid w:val="002724E8"/>
    <w:rsid w:val="00274633"/>
    <w:rsid w:val="00274C88"/>
    <w:rsid w:val="00276A36"/>
    <w:rsid w:val="00276D7E"/>
    <w:rsid w:val="00283646"/>
    <w:rsid w:val="00283FA4"/>
    <w:rsid w:val="0028400D"/>
    <w:rsid w:val="00284941"/>
    <w:rsid w:val="002874F9"/>
    <w:rsid w:val="00290FC4"/>
    <w:rsid w:val="002A1C9F"/>
    <w:rsid w:val="002A2E49"/>
    <w:rsid w:val="002A320F"/>
    <w:rsid w:val="002A4C2E"/>
    <w:rsid w:val="002A4FA9"/>
    <w:rsid w:val="002A6A26"/>
    <w:rsid w:val="002B01AD"/>
    <w:rsid w:val="002B122A"/>
    <w:rsid w:val="002B13A4"/>
    <w:rsid w:val="002B4EAD"/>
    <w:rsid w:val="002C08F5"/>
    <w:rsid w:val="002C1C9B"/>
    <w:rsid w:val="002C21A8"/>
    <w:rsid w:val="002C3AB1"/>
    <w:rsid w:val="002C5B64"/>
    <w:rsid w:val="002C63B5"/>
    <w:rsid w:val="002C6C02"/>
    <w:rsid w:val="002D4E12"/>
    <w:rsid w:val="002D59EA"/>
    <w:rsid w:val="002D7FF9"/>
    <w:rsid w:val="002E0FBE"/>
    <w:rsid w:val="002E10DF"/>
    <w:rsid w:val="002E2CE8"/>
    <w:rsid w:val="002E6592"/>
    <w:rsid w:val="002E688D"/>
    <w:rsid w:val="002F0C8F"/>
    <w:rsid w:val="002F2846"/>
    <w:rsid w:val="002F4E5B"/>
    <w:rsid w:val="002F65B7"/>
    <w:rsid w:val="002F7D84"/>
    <w:rsid w:val="00302BF6"/>
    <w:rsid w:val="00306B2A"/>
    <w:rsid w:val="00310C77"/>
    <w:rsid w:val="00311B27"/>
    <w:rsid w:val="00312224"/>
    <w:rsid w:val="00314225"/>
    <w:rsid w:val="0031562C"/>
    <w:rsid w:val="00317A94"/>
    <w:rsid w:val="00320CCB"/>
    <w:rsid w:val="00321892"/>
    <w:rsid w:val="00321C68"/>
    <w:rsid w:val="00321C7A"/>
    <w:rsid w:val="003223E7"/>
    <w:rsid w:val="003239BB"/>
    <w:rsid w:val="00324C64"/>
    <w:rsid w:val="0032554D"/>
    <w:rsid w:val="00327BFA"/>
    <w:rsid w:val="00327F2A"/>
    <w:rsid w:val="0033076A"/>
    <w:rsid w:val="00330E61"/>
    <w:rsid w:val="00330ED0"/>
    <w:rsid w:val="0033285C"/>
    <w:rsid w:val="00336583"/>
    <w:rsid w:val="00336E65"/>
    <w:rsid w:val="00337320"/>
    <w:rsid w:val="00340140"/>
    <w:rsid w:val="00341BAE"/>
    <w:rsid w:val="00342A7D"/>
    <w:rsid w:val="003441D7"/>
    <w:rsid w:val="0034425C"/>
    <w:rsid w:val="00344481"/>
    <w:rsid w:val="003474C8"/>
    <w:rsid w:val="00347831"/>
    <w:rsid w:val="0035086B"/>
    <w:rsid w:val="00351773"/>
    <w:rsid w:val="003522D9"/>
    <w:rsid w:val="003544BA"/>
    <w:rsid w:val="003556D9"/>
    <w:rsid w:val="00356B53"/>
    <w:rsid w:val="003604FA"/>
    <w:rsid w:val="003619D7"/>
    <w:rsid w:val="0036234D"/>
    <w:rsid w:val="00362948"/>
    <w:rsid w:val="00364780"/>
    <w:rsid w:val="00366564"/>
    <w:rsid w:val="003723E3"/>
    <w:rsid w:val="0037261F"/>
    <w:rsid w:val="00374370"/>
    <w:rsid w:val="00381DF0"/>
    <w:rsid w:val="00382A5A"/>
    <w:rsid w:val="00383E9C"/>
    <w:rsid w:val="00383FEA"/>
    <w:rsid w:val="00386456"/>
    <w:rsid w:val="00387492"/>
    <w:rsid w:val="00387D76"/>
    <w:rsid w:val="00391353"/>
    <w:rsid w:val="00391A4F"/>
    <w:rsid w:val="003921B3"/>
    <w:rsid w:val="003921FF"/>
    <w:rsid w:val="00394A73"/>
    <w:rsid w:val="00396F14"/>
    <w:rsid w:val="00397368"/>
    <w:rsid w:val="003A4AA0"/>
    <w:rsid w:val="003A4EB3"/>
    <w:rsid w:val="003A52B6"/>
    <w:rsid w:val="003A5762"/>
    <w:rsid w:val="003A5A44"/>
    <w:rsid w:val="003B1039"/>
    <w:rsid w:val="003B13D2"/>
    <w:rsid w:val="003B2F98"/>
    <w:rsid w:val="003B3371"/>
    <w:rsid w:val="003B4160"/>
    <w:rsid w:val="003B5504"/>
    <w:rsid w:val="003B56E5"/>
    <w:rsid w:val="003B6953"/>
    <w:rsid w:val="003B6A9C"/>
    <w:rsid w:val="003B71C7"/>
    <w:rsid w:val="003B7F82"/>
    <w:rsid w:val="003C047E"/>
    <w:rsid w:val="003C0E5F"/>
    <w:rsid w:val="003C2508"/>
    <w:rsid w:val="003C5B6A"/>
    <w:rsid w:val="003D1D66"/>
    <w:rsid w:val="003D338F"/>
    <w:rsid w:val="003D63D4"/>
    <w:rsid w:val="003D6C6C"/>
    <w:rsid w:val="003D7F83"/>
    <w:rsid w:val="003E05FC"/>
    <w:rsid w:val="003E0690"/>
    <w:rsid w:val="003E0E42"/>
    <w:rsid w:val="003E3DE6"/>
    <w:rsid w:val="003E5466"/>
    <w:rsid w:val="003E550C"/>
    <w:rsid w:val="003E5D29"/>
    <w:rsid w:val="003E6D8B"/>
    <w:rsid w:val="003E7574"/>
    <w:rsid w:val="003E776B"/>
    <w:rsid w:val="003F052F"/>
    <w:rsid w:val="003F382F"/>
    <w:rsid w:val="003F7E8C"/>
    <w:rsid w:val="00400637"/>
    <w:rsid w:val="00400BAB"/>
    <w:rsid w:val="00401294"/>
    <w:rsid w:val="00401721"/>
    <w:rsid w:val="00402EE1"/>
    <w:rsid w:val="00403823"/>
    <w:rsid w:val="004047B8"/>
    <w:rsid w:val="00405058"/>
    <w:rsid w:val="004056B1"/>
    <w:rsid w:val="00406440"/>
    <w:rsid w:val="00407165"/>
    <w:rsid w:val="00410EA9"/>
    <w:rsid w:val="00410FD8"/>
    <w:rsid w:val="00411652"/>
    <w:rsid w:val="004128FB"/>
    <w:rsid w:val="00412F1D"/>
    <w:rsid w:val="00413AC6"/>
    <w:rsid w:val="0041526C"/>
    <w:rsid w:val="004155F7"/>
    <w:rsid w:val="0041679F"/>
    <w:rsid w:val="00417DAC"/>
    <w:rsid w:val="00420853"/>
    <w:rsid w:val="00422587"/>
    <w:rsid w:val="00431E01"/>
    <w:rsid w:val="0043359F"/>
    <w:rsid w:val="00436804"/>
    <w:rsid w:val="00437382"/>
    <w:rsid w:val="00440247"/>
    <w:rsid w:val="0044038C"/>
    <w:rsid w:val="004409DC"/>
    <w:rsid w:val="00440F06"/>
    <w:rsid w:val="00441AD8"/>
    <w:rsid w:val="004436C3"/>
    <w:rsid w:val="00443C98"/>
    <w:rsid w:val="0044693B"/>
    <w:rsid w:val="00450BC8"/>
    <w:rsid w:val="00450C9A"/>
    <w:rsid w:val="004512D7"/>
    <w:rsid w:val="00451E64"/>
    <w:rsid w:val="00452E7D"/>
    <w:rsid w:val="004531C5"/>
    <w:rsid w:val="00453D56"/>
    <w:rsid w:val="00454AD9"/>
    <w:rsid w:val="00457622"/>
    <w:rsid w:val="00457EF4"/>
    <w:rsid w:val="00460453"/>
    <w:rsid w:val="00460854"/>
    <w:rsid w:val="00461214"/>
    <w:rsid w:val="00462806"/>
    <w:rsid w:val="00463EA8"/>
    <w:rsid w:val="00464350"/>
    <w:rsid w:val="004652DE"/>
    <w:rsid w:val="00465C26"/>
    <w:rsid w:val="00466443"/>
    <w:rsid w:val="00466D6E"/>
    <w:rsid w:val="00466ED9"/>
    <w:rsid w:val="00470524"/>
    <w:rsid w:val="004730E4"/>
    <w:rsid w:val="0047463E"/>
    <w:rsid w:val="004749B9"/>
    <w:rsid w:val="00474C6D"/>
    <w:rsid w:val="004767DA"/>
    <w:rsid w:val="0048083B"/>
    <w:rsid w:val="004809DE"/>
    <w:rsid w:val="004810EF"/>
    <w:rsid w:val="004835A9"/>
    <w:rsid w:val="004839AD"/>
    <w:rsid w:val="00484C9D"/>
    <w:rsid w:val="00487CFB"/>
    <w:rsid w:val="00491DE6"/>
    <w:rsid w:val="00493F46"/>
    <w:rsid w:val="00496C34"/>
    <w:rsid w:val="004A020A"/>
    <w:rsid w:val="004A04D0"/>
    <w:rsid w:val="004A20C8"/>
    <w:rsid w:val="004A2916"/>
    <w:rsid w:val="004A4503"/>
    <w:rsid w:val="004A76F2"/>
    <w:rsid w:val="004B00B0"/>
    <w:rsid w:val="004B050A"/>
    <w:rsid w:val="004B1A33"/>
    <w:rsid w:val="004B1FAB"/>
    <w:rsid w:val="004B21F5"/>
    <w:rsid w:val="004B265F"/>
    <w:rsid w:val="004B2F63"/>
    <w:rsid w:val="004B37E9"/>
    <w:rsid w:val="004B3822"/>
    <w:rsid w:val="004B4E2B"/>
    <w:rsid w:val="004B5033"/>
    <w:rsid w:val="004B55D4"/>
    <w:rsid w:val="004B6C5D"/>
    <w:rsid w:val="004B6E13"/>
    <w:rsid w:val="004B6EAF"/>
    <w:rsid w:val="004C1E43"/>
    <w:rsid w:val="004C3864"/>
    <w:rsid w:val="004C4C94"/>
    <w:rsid w:val="004C5722"/>
    <w:rsid w:val="004C6A27"/>
    <w:rsid w:val="004C74AD"/>
    <w:rsid w:val="004C78E9"/>
    <w:rsid w:val="004C7F73"/>
    <w:rsid w:val="004D1470"/>
    <w:rsid w:val="004D2038"/>
    <w:rsid w:val="004D329F"/>
    <w:rsid w:val="004D469D"/>
    <w:rsid w:val="004D478F"/>
    <w:rsid w:val="004D609A"/>
    <w:rsid w:val="004D609F"/>
    <w:rsid w:val="004E22E0"/>
    <w:rsid w:val="004E434A"/>
    <w:rsid w:val="004E506A"/>
    <w:rsid w:val="004E591A"/>
    <w:rsid w:val="004E7D29"/>
    <w:rsid w:val="004F3AFB"/>
    <w:rsid w:val="004F49AC"/>
    <w:rsid w:val="004F5C8D"/>
    <w:rsid w:val="004F6CCC"/>
    <w:rsid w:val="004F7A10"/>
    <w:rsid w:val="004F7F58"/>
    <w:rsid w:val="0050175C"/>
    <w:rsid w:val="00501E74"/>
    <w:rsid w:val="0050327F"/>
    <w:rsid w:val="00503DAF"/>
    <w:rsid w:val="00503FEA"/>
    <w:rsid w:val="0050468A"/>
    <w:rsid w:val="00504EA5"/>
    <w:rsid w:val="00505D3C"/>
    <w:rsid w:val="00510E7D"/>
    <w:rsid w:val="0051397B"/>
    <w:rsid w:val="0051478D"/>
    <w:rsid w:val="00515A92"/>
    <w:rsid w:val="005175EF"/>
    <w:rsid w:val="00517DD4"/>
    <w:rsid w:val="0052173F"/>
    <w:rsid w:val="0052320D"/>
    <w:rsid w:val="00526019"/>
    <w:rsid w:val="00531449"/>
    <w:rsid w:val="005324D2"/>
    <w:rsid w:val="005333BF"/>
    <w:rsid w:val="005337D9"/>
    <w:rsid w:val="00534BBC"/>
    <w:rsid w:val="00536576"/>
    <w:rsid w:val="00536C3F"/>
    <w:rsid w:val="00541A4B"/>
    <w:rsid w:val="00541D5E"/>
    <w:rsid w:val="00543335"/>
    <w:rsid w:val="00544129"/>
    <w:rsid w:val="00544E4F"/>
    <w:rsid w:val="00545997"/>
    <w:rsid w:val="00547C6E"/>
    <w:rsid w:val="00554F23"/>
    <w:rsid w:val="005557B4"/>
    <w:rsid w:val="00555B1C"/>
    <w:rsid w:val="005561F9"/>
    <w:rsid w:val="00556608"/>
    <w:rsid w:val="00556EA4"/>
    <w:rsid w:val="00560D22"/>
    <w:rsid w:val="005621F7"/>
    <w:rsid w:val="00563C9A"/>
    <w:rsid w:val="00564EE3"/>
    <w:rsid w:val="00565C7F"/>
    <w:rsid w:val="00566E43"/>
    <w:rsid w:val="00571602"/>
    <w:rsid w:val="00571DF0"/>
    <w:rsid w:val="00572ADD"/>
    <w:rsid w:val="005746DD"/>
    <w:rsid w:val="00574ECD"/>
    <w:rsid w:val="005760C4"/>
    <w:rsid w:val="00576847"/>
    <w:rsid w:val="005775DA"/>
    <w:rsid w:val="00580173"/>
    <w:rsid w:val="00583A47"/>
    <w:rsid w:val="00583EC6"/>
    <w:rsid w:val="005849D1"/>
    <w:rsid w:val="00584C1A"/>
    <w:rsid w:val="00585734"/>
    <w:rsid w:val="00585858"/>
    <w:rsid w:val="00585CDD"/>
    <w:rsid w:val="00587645"/>
    <w:rsid w:val="005958D0"/>
    <w:rsid w:val="005A1146"/>
    <w:rsid w:val="005A1C53"/>
    <w:rsid w:val="005A3B07"/>
    <w:rsid w:val="005A5022"/>
    <w:rsid w:val="005A660C"/>
    <w:rsid w:val="005A6DA7"/>
    <w:rsid w:val="005B39AB"/>
    <w:rsid w:val="005B3AF5"/>
    <w:rsid w:val="005B3EDB"/>
    <w:rsid w:val="005B437A"/>
    <w:rsid w:val="005B46DD"/>
    <w:rsid w:val="005B571D"/>
    <w:rsid w:val="005C1176"/>
    <w:rsid w:val="005D192A"/>
    <w:rsid w:val="005D5022"/>
    <w:rsid w:val="005E13AF"/>
    <w:rsid w:val="005E474F"/>
    <w:rsid w:val="005F03FD"/>
    <w:rsid w:val="005F15AB"/>
    <w:rsid w:val="005F1FE1"/>
    <w:rsid w:val="005F3051"/>
    <w:rsid w:val="005F3811"/>
    <w:rsid w:val="005F3C43"/>
    <w:rsid w:val="005F4E8E"/>
    <w:rsid w:val="005F530A"/>
    <w:rsid w:val="005F5A8D"/>
    <w:rsid w:val="005F63F0"/>
    <w:rsid w:val="00602D4E"/>
    <w:rsid w:val="00605B28"/>
    <w:rsid w:val="006071DF"/>
    <w:rsid w:val="00607231"/>
    <w:rsid w:val="00612007"/>
    <w:rsid w:val="00613B95"/>
    <w:rsid w:val="006152C0"/>
    <w:rsid w:val="006158DD"/>
    <w:rsid w:val="006179E0"/>
    <w:rsid w:val="006223E4"/>
    <w:rsid w:val="0062311D"/>
    <w:rsid w:val="0062561B"/>
    <w:rsid w:val="0062735A"/>
    <w:rsid w:val="006303E5"/>
    <w:rsid w:val="00630A4A"/>
    <w:rsid w:val="00630F9A"/>
    <w:rsid w:val="00631769"/>
    <w:rsid w:val="00631D37"/>
    <w:rsid w:val="00634A2F"/>
    <w:rsid w:val="006352A1"/>
    <w:rsid w:val="00635D57"/>
    <w:rsid w:val="00640DE3"/>
    <w:rsid w:val="006423FE"/>
    <w:rsid w:val="0064292C"/>
    <w:rsid w:val="006467F3"/>
    <w:rsid w:val="00653817"/>
    <w:rsid w:val="00656159"/>
    <w:rsid w:val="006567EB"/>
    <w:rsid w:val="0066146A"/>
    <w:rsid w:val="00661622"/>
    <w:rsid w:val="00662A02"/>
    <w:rsid w:val="00662A4F"/>
    <w:rsid w:val="00665797"/>
    <w:rsid w:val="0066684C"/>
    <w:rsid w:val="00666AED"/>
    <w:rsid w:val="00667579"/>
    <w:rsid w:val="006721DD"/>
    <w:rsid w:val="006725FE"/>
    <w:rsid w:val="00672894"/>
    <w:rsid w:val="0067383A"/>
    <w:rsid w:val="00675C9E"/>
    <w:rsid w:val="00677F38"/>
    <w:rsid w:val="006802D7"/>
    <w:rsid w:val="006823FF"/>
    <w:rsid w:val="00682A6F"/>
    <w:rsid w:val="00683A6C"/>
    <w:rsid w:val="00684C88"/>
    <w:rsid w:val="006879F2"/>
    <w:rsid w:val="00687EA1"/>
    <w:rsid w:val="00690046"/>
    <w:rsid w:val="00690BE1"/>
    <w:rsid w:val="00691776"/>
    <w:rsid w:val="00696FD7"/>
    <w:rsid w:val="006A47F1"/>
    <w:rsid w:val="006A4D94"/>
    <w:rsid w:val="006A52D3"/>
    <w:rsid w:val="006A5EF5"/>
    <w:rsid w:val="006A6478"/>
    <w:rsid w:val="006B2D9E"/>
    <w:rsid w:val="006B3E5D"/>
    <w:rsid w:val="006B417D"/>
    <w:rsid w:val="006B7BCF"/>
    <w:rsid w:val="006C1DEE"/>
    <w:rsid w:val="006C3BE3"/>
    <w:rsid w:val="006C7972"/>
    <w:rsid w:val="006D0B03"/>
    <w:rsid w:val="006D1FFB"/>
    <w:rsid w:val="006D3227"/>
    <w:rsid w:val="006D3DB7"/>
    <w:rsid w:val="006D6BFB"/>
    <w:rsid w:val="006E12B9"/>
    <w:rsid w:val="006E2247"/>
    <w:rsid w:val="006E250E"/>
    <w:rsid w:val="006E6084"/>
    <w:rsid w:val="006E61D3"/>
    <w:rsid w:val="006E759A"/>
    <w:rsid w:val="006F02C7"/>
    <w:rsid w:val="006F09B1"/>
    <w:rsid w:val="006F0F33"/>
    <w:rsid w:val="006F189D"/>
    <w:rsid w:val="006F2313"/>
    <w:rsid w:val="006F2C9A"/>
    <w:rsid w:val="006F2D2D"/>
    <w:rsid w:val="006F3F02"/>
    <w:rsid w:val="006F3FC6"/>
    <w:rsid w:val="006F52E3"/>
    <w:rsid w:val="006F5886"/>
    <w:rsid w:val="006F6BAF"/>
    <w:rsid w:val="00700E48"/>
    <w:rsid w:val="0070168F"/>
    <w:rsid w:val="00701C91"/>
    <w:rsid w:val="007050EE"/>
    <w:rsid w:val="00705AFD"/>
    <w:rsid w:val="00706C3C"/>
    <w:rsid w:val="0071130C"/>
    <w:rsid w:val="007115C5"/>
    <w:rsid w:val="007122B7"/>
    <w:rsid w:val="00713D5E"/>
    <w:rsid w:val="007166F8"/>
    <w:rsid w:val="00720E0F"/>
    <w:rsid w:val="00721E4F"/>
    <w:rsid w:val="007307D7"/>
    <w:rsid w:val="00731B65"/>
    <w:rsid w:val="0073221D"/>
    <w:rsid w:val="00733025"/>
    <w:rsid w:val="0073383B"/>
    <w:rsid w:val="007400C3"/>
    <w:rsid w:val="007405D2"/>
    <w:rsid w:val="00746057"/>
    <w:rsid w:val="0074725E"/>
    <w:rsid w:val="007475CE"/>
    <w:rsid w:val="00750A23"/>
    <w:rsid w:val="007519C6"/>
    <w:rsid w:val="0075360D"/>
    <w:rsid w:val="00755ECC"/>
    <w:rsid w:val="00756AB9"/>
    <w:rsid w:val="0075766F"/>
    <w:rsid w:val="00760974"/>
    <w:rsid w:val="007618FC"/>
    <w:rsid w:val="00761C47"/>
    <w:rsid w:val="0076314E"/>
    <w:rsid w:val="00763355"/>
    <w:rsid w:val="00763899"/>
    <w:rsid w:val="00763BD0"/>
    <w:rsid w:val="00766550"/>
    <w:rsid w:val="0076753C"/>
    <w:rsid w:val="007678F6"/>
    <w:rsid w:val="007702F0"/>
    <w:rsid w:val="007718C6"/>
    <w:rsid w:val="007721A0"/>
    <w:rsid w:val="0077227E"/>
    <w:rsid w:val="00772E4F"/>
    <w:rsid w:val="0077383D"/>
    <w:rsid w:val="00773FD2"/>
    <w:rsid w:val="00774071"/>
    <w:rsid w:val="00775B48"/>
    <w:rsid w:val="0078048E"/>
    <w:rsid w:val="00781E7F"/>
    <w:rsid w:val="00784026"/>
    <w:rsid w:val="0078518E"/>
    <w:rsid w:val="0078715E"/>
    <w:rsid w:val="00787F4E"/>
    <w:rsid w:val="0079007E"/>
    <w:rsid w:val="00791D74"/>
    <w:rsid w:val="0079340A"/>
    <w:rsid w:val="00793C54"/>
    <w:rsid w:val="007A0DAC"/>
    <w:rsid w:val="007A1870"/>
    <w:rsid w:val="007A4F01"/>
    <w:rsid w:val="007A6A6F"/>
    <w:rsid w:val="007A7CD3"/>
    <w:rsid w:val="007A7F13"/>
    <w:rsid w:val="007A7FD2"/>
    <w:rsid w:val="007B0103"/>
    <w:rsid w:val="007B0138"/>
    <w:rsid w:val="007B08E9"/>
    <w:rsid w:val="007B3A70"/>
    <w:rsid w:val="007B7018"/>
    <w:rsid w:val="007C0DB7"/>
    <w:rsid w:val="007C1374"/>
    <w:rsid w:val="007C4804"/>
    <w:rsid w:val="007C50CB"/>
    <w:rsid w:val="007C63DB"/>
    <w:rsid w:val="007C6AA3"/>
    <w:rsid w:val="007C7261"/>
    <w:rsid w:val="007C777F"/>
    <w:rsid w:val="007C7B00"/>
    <w:rsid w:val="007D18B4"/>
    <w:rsid w:val="007D2BA7"/>
    <w:rsid w:val="007D31AB"/>
    <w:rsid w:val="007D67F3"/>
    <w:rsid w:val="007D6C3C"/>
    <w:rsid w:val="007E2181"/>
    <w:rsid w:val="007E4413"/>
    <w:rsid w:val="007F06A3"/>
    <w:rsid w:val="007F1FC1"/>
    <w:rsid w:val="007F2B9B"/>
    <w:rsid w:val="007F390F"/>
    <w:rsid w:val="007F5634"/>
    <w:rsid w:val="007F70B7"/>
    <w:rsid w:val="007F70E3"/>
    <w:rsid w:val="007F79BE"/>
    <w:rsid w:val="008007EE"/>
    <w:rsid w:val="008017A1"/>
    <w:rsid w:val="00803456"/>
    <w:rsid w:val="00803C5D"/>
    <w:rsid w:val="008115C3"/>
    <w:rsid w:val="008125D5"/>
    <w:rsid w:val="008129BB"/>
    <w:rsid w:val="00815102"/>
    <w:rsid w:val="00816424"/>
    <w:rsid w:val="008169A3"/>
    <w:rsid w:val="00816A1C"/>
    <w:rsid w:val="00817D1C"/>
    <w:rsid w:val="00821AD0"/>
    <w:rsid w:val="008246D0"/>
    <w:rsid w:val="008257CC"/>
    <w:rsid w:val="00827527"/>
    <w:rsid w:val="00831DFD"/>
    <w:rsid w:val="00832AF0"/>
    <w:rsid w:val="00833B3F"/>
    <w:rsid w:val="00835CF6"/>
    <w:rsid w:val="00840D32"/>
    <w:rsid w:val="00840EB4"/>
    <w:rsid w:val="008419E8"/>
    <w:rsid w:val="00841F23"/>
    <w:rsid w:val="008457FD"/>
    <w:rsid w:val="00845C1A"/>
    <w:rsid w:val="00845F5A"/>
    <w:rsid w:val="008508A8"/>
    <w:rsid w:val="00852FD4"/>
    <w:rsid w:val="008532D0"/>
    <w:rsid w:val="00853521"/>
    <w:rsid w:val="00853CE1"/>
    <w:rsid w:val="00855645"/>
    <w:rsid w:val="008559C3"/>
    <w:rsid w:val="0086237C"/>
    <w:rsid w:val="00862628"/>
    <w:rsid w:val="008638AD"/>
    <w:rsid w:val="00864D6B"/>
    <w:rsid w:val="00865EFB"/>
    <w:rsid w:val="008676EA"/>
    <w:rsid w:val="00871247"/>
    <w:rsid w:val="00871874"/>
    <w:rsid w:val="00872BE8"/>
    <w:rsid w:val="0087415E"/>
    <w:rsid w:val="00874318"/>
    <w:rsid w:val="008762A2"/>
    <w:rsid w:val="00884728"/>
    <w:rsid w:val="00884814"/>
    <w:rsid w:val="008850C9"/>
    <w:rsid w:val="0088588F"/>
    <w:rsid w:val="0088607F"/>
    <w:rsid w:val="00887441"/>
    <w:rsid w:val="00893F9E"/>
    <w:rsid w:val="008942D1"/>
    <w:rsid w:val="008963F2"/>
    <w:rsid w:val="008966FB"/>
    <w:rsid w:val="008977F2"/>
    <w:rsid w:val="008A279B"/>
    <w:rsid w:val="008A3532"/>
    <w:rsid w:val="008A59D3"/>
    <w:rsid w:val="008A5D15"/>
    <w:rsid w:val="008A6F10"/>
    <w:rsid w:val="008A7C96"/>
    <w:rsid w:val="008B0A52"/>
    <w:rsid w:val="008B0A90"/>
    <w:rsid w:val="008B0CA0"/>
    <w:rsid w:val="008B0F32"/>
    <w:rsid w:val="008B289A"/>
    <w:rsid w:val="008B4847"/>
    <w:rsid w:val="008B71CC"/>
    <w:rsid w:val="008C5E6E"/>
    <w:rsid w:val="008C72C1"/>
    <w:rsid w:val="008C7A23"/>
    <w:rsid w:val="008D02D4"/>
    <w:rsid w:val="008D0778"/>
    <w:rsid w:val="008D29F9"/>
    <w:rsid w:val="008D2BBC"/>
    <w:rsid w:val="008D5BB9"/>
    <w:rsid w:val="008D6B95"/>
    <w:rsid w:val="008E1BD0"/>
    <w:rsid w:val="008E1FBA"/>
    <w:rsid w:val="008E3488"/>
    <w:rsid w:val="008E5812"/>
    <w:rsid w:val="008E6E42"/>
    <w:rsid w:val="008E7DEA"/>
    <w:rsid w:val="008F06FD"/>
    <w:rsid w:val="008F07FB"/>
    <w:rsid w:val="008F1FF9"/>
    <w:rsid w:val="008F49B3"/>
    <w:rsid w:val="008F664A"/>
    <w:rsid w:val="008F74FE"/>
    <w:rsid w:val="00902451"/>
    <w:rsid w:val="0090386D"/>
    <w:rsid w:val="00904136"/>
    <w:rsid w:val="009044D5"/>
    <w:rsid w:val="0090669A"/>
    <w:rsid w:val="0090725D"/>
    <w:rsid w:val="00910632"/>
    <w:rsid w:val="00910D23"/>
    <w:rsid w:val="00911F7E"/>
    <w:rsid w:val="00912D62"/>
    <w:rsid w:val="00913462"/>
    <w:rsid w:val="00914145"/>
    <w:rsid w:val="00916B16"/>
    <w:rsid w:val="00923A01"/>
    <w:rsid w:val="00924970"/>
    <w:rsid w:val="0092551D"/>
    <w:rsid w:val="0092561B"/>
    <w:rsid w:val="00925F12"/>
    <w:rsid w:val="00927AA8"/>
    <w:rsid w:val="00927B0F"/>
    <w:rsid w:val="00937DA0"/>
    <w:rsid w:val="00940D52"/>
    <w:rsid w:val="009418B9"/>
    <w:rsid w:val="00947B18"/>
    <w:rsid w:val="00947B32"/>
    <w:rsid w:val="00951535"/>
    <w:rsid w:val="00953022"/>
    <w:rsid w:val="00954D1B"/>
    <w:rsid w:val="00956DA5"/>
    <w:rsid w:val="009629AB"/>
    <w:rsid w:val="0096648C"/>
    <w:rsid w:val="00966ABC"/>
    <w:rsid w:val="00966B0E"/>
    <w:rsid w:val="009700BF"/>
    <w:rsid w:val="0097235D"/>
    <w:rsid w:val="009740F1"/>
    <w:rsid w:val="00976F11"/>
    <w:rsid w:val="0098014D"/>
    <w:rsid w:val="00980977"/>
    <w:rsid w:val="00980BAF"/>
    <w:rsid w:val="00982340"/>
    <w:rsid w:val="009841B7"/>
    <w:rsid w:val="009856FF"/>
    <w:rsid w:val="009874C7"/>
    <w:rsid w:val="009902D6"/>
    <w:rsid w:val="00991514"/>
    <w:rsid w:val="00991770"/>
    <w:rsid w:val="00992F7D"/>
    <w:rsid w:val="0099557F"/>
    <w:rsid w:val="00995624"/>
    <w:rsid w:val="009A0538"/>
    <w:rsid w:val="009B0154"/>
    <w:rsid w:val="009B2B89"/>
    <w:rsid w:val="009B3971"/>
    <w:rsid w:val="009B4E71"/>
    <w:rsid w:val="009B5A73"/>
    <w:rsid w:val="009C1D54"/>
    <w:rsid w:val="009C2F4B"/>
    <w:rsid w:val="009C595A"/>
    <w:rsid w:val="009C6795"/>
    <w:rsid w:val="009C7E29"/>
    <w:rsid w:val="009D2302"/>
    <w:rsid w:val="009D3217"/>
    <w:rsid w:val="009D3F16"/>
    <w:rsid w:val="009D4449"/>
    <w:rsid w:val="009D5D6B"/>
    <w:rsid w:val="009D6765"/>
    <w:rsid w:val="009E129C"/>
    <w:rsid w:val="009E148C"/>
    <w:rsid w:val="009E3612"/>
    <w:rsid w:val="009E52AC"/>
    <w:rsid w:val="009E54AA"/>
    <w:rsid w:val="009E6EEF"/>
    <w:rsid w:val="009E7441"/>
    <w:rsid w:val="009E75E5"/>
    <w:rsid w:val="009F2EAA"/>
    <w:rsid w:val="009F30F5"/>
    <w:rsid w:val="009F389F"/>
    <w:rsid w:val="009F53BE"/>
    <w:rsid w:val="009F5A3F"/>
    <w:rsid w:val="00A00B5E"/>
    <w:rsid w:val="00A02E38"/>
    <w:rsid w:val="00A04D11"/>
    <w:rsid w:val="00A05FC4"/>
    <w:rsid w:val="00A066B5"/>
    <w:rsid w:val="00A06AF3"/>
    <w:rsid w:val="00A06E65"/>
    <w:rsid w:val="00A108DF"/>
    <w:rsid w:val="00A113C7"/>
    <w:rsid w:val="00A116BA"/>
    <w:rsid w:val="00A11CF1"/>
    <w:rsid w:val="00A11D1D"/>
    <w:rsid w:val="00A12E94"/>
    <w:rsid w:val="00A1412B"/>
    <w:rsid w:val="00A168E6"/>
    <w:rsid w:val="00A21AD5"/>
    <w:rsid w:val="00A21F78"/>
    <w:rsid w:val="00A229B5"/>
    <w:rsid w:val="00A3196D"/>
    <w:rsid w:val="00A3350A"/>
    <w:rsid w:val="00A3616E"/>
    <w:rsid w:val="00A369E8"/>
    <w:rsid w:val="00A41CDE"/>
    <w:rsid w:val="00A43161"/>
    <w:rsid w:val="00A43AB9"/>
    <w:rsid w:val="00A44B3B"/>
    <w:rsid w:val="00A471DD"/>
    <w:rsid w:val="00A477B8"/>
    <w:rsid w:val="00A50859"/>
    <w:rsid w:val="00A54390"/>
    <w:rsid w:val="00A54B8A"/>
    <w:rsid w:val="00A55F81"/>
    <w:rsid w:val="00A56356"/>
    <w:rsid w:val="00A61135"/>
    <w:rsid w:val="00A617D4"/>
    <w:rsid w:val="00A62C69"/>
    <w:rsid w:val="00A65F56"/>
    <w:rsid w:val="00A666EF"/>
    <w:rsid w:val="00A66A04"/>
    <w:rsid w:val="00A66BDB"/>
    <w:rsid w:val="00A67C82"/>
    <w:rsid w:val="00A70746"/>
    <w:rsid w:val="00A713B3"/>
    <w:rsid w:val="00A7475F"/>
    <w:rsid w:val="00A74BE1"/>
    <w:rsid w:val="00A759C4"/>
    <w:rsid w:val="00A77164"/>
    <w:rsid w:val="00A805FE"/>
    <w:rsid w:val="00A8120A"/>
    <w:rsid w:val="00A81CB0"/>
    <w:rsid w:val="00A84CE4"/>
    <w:rsid w:val="00A87DAB"/>
    <w:rsid w:val="00A90986"/>
    <w:rsid w:val="00A94BF6"/>
    <w:rsid w:val="00A96490"/>
    <w:rsid w:val="00AA14D1"/>
    <w:rsid w:val="00AA3CCB"/>
    <w:rsid w:val="00AA4829"/>
    <w:rsid w:val="00AA7D5C"/>
    <w:rsid w:val="00AB1C82"/>
    <w:rsid w:val="00AB1E14"/>
    <w:rsid w:val="00AB3FEF"/>
    <w:rsid w:val="00AB5AC4"/>
    <w:rsid w:val="00AC068E"/>
    <w:rsid w:val="00AC1CA4"/>
    <w:rsid w:val="00AC1D68"/>
    <w:rsid w:val="00AC27CF"/>
    <w:rsid w:val="00AC3315"/>
    <w:rsid w:val="00AC3B09"/>
    <w:rsid w:val="00AC3E9A"/>
    <w:rsid w:val="00AC4C89"/>
    <w:rsid w:val="00AC5BDA"/>
    <w:rsid w:val="00AC5C79"/>
    <w:rsid w:val="00AC5EB4"/>
    <w:rsid w:val="00AD04F5"/>
    <w:rsid w:val="00AD0557"/>
    <w:rsid w:val="00AD09F2"/>
    <w:rsid w:val="00AD1B23"/>
    <w:rsid w:val="00AD305D"/>
    <w:rsid w:val="00AD440B"/>
    <w:rsid w:val="00AD4FD7"/>
    <w:rsid w:val="00AD6CCB"/>
    <w:rsid w:val="00AD7484"/>
    <w:rsid w:val="00AE02D1"/>
    <w:rsid w:val="00AE0AFA"/>
    <w:rsid w:val="00AE0FFF"/>
    <w:rsid w:val="00AE136F"/>
    <w:rsid w:val="00AE149C"/>
    <w:rsid w:val="00AE19AE"/>
    <w:rsid w:val="00AE7130"/>
    <w:rsid w:val="00AE7C64"/>
    <w:rsid w:val="00AF00CF"/>
    <w:rsid w:val="00AF0B6A"/>
    <w:rsid w:val="00AF1C41"/>
    <w:rsid w:val="00AF36FD"/>
    <w:rsid w:val="00AF4F81"/>
    <w:rsid w:val="00AF6511"/>
    <w:rsid w:val="00AF7258"/>
    <w:rsid w:val="00AF7328"/>
    <w:rsid w:val="00B02BE7"/>
    <w:rsid w:val="00B03AB6"/>
    <w:rsid w:val="00B04B7B"/>
    <w:rsid w:val="00B04BA9"/>
    <w:rsid w:val="00B04BD5"/>
    <w:rsid w:val="00B05056"/>
    <w:rsid w:val="00B06780"/>
    <w:rsid w:val="00B06E67"/>
    <w:rsid w:val="00B07EC6"/>
    <w:rsid w:val="00B159EE"/>
    <w:rsid w:val="00B16B1F"/>
    <w:rsid w:val="00B16B71"/>
    <w:rsid w:val="00B17EF0"/>
    <w:rsid w:val="00B20028"/>
    <w:rsid w:val="00B20D3F"/>
    <w:rsid w:val="00B221B3"/>
    <w:rsid w:val="00B307C0"/>
    <w:rsid w:val="00B30F0A"/>
    <w:rsid w:val="00B3132D"/>
    <w:rsid w:val="00B340A6"/>
    <w:rsid w:val="00B34D9E"/>
    <w:rsid w:val="00B34EA7"/>
    <w:rsid w:val="00B3679B"/>
    <w:rsid w:val="00B40379"/>
    <w:rsid w:val="00B42590"/>
    <w:rsid w:val="00B43617"/>
    <w:rsid w:val="00B43B06"/>
    <w:rsid w:val="00B43D57"/>
    <w:rsid w:val="00B4405E"/>
    <w:rsid w:val="00B449A3"/>
    <w:rsid w:val="00B47FF4"/>
    <w:rsid w:val="00B50FA0"/>
    <w:rsid w:val="00B5208A"/>
    <w:rsid w:val="00B5235F"/>
    <w:rsid w:val="00B529C2"/>
    <w:rsid w:val="00B53EDD"/>
    <w:rsid w:val="00B541E7"/>
    <w:rsid w:val="00B55153"/>
    <w:rsid w:val="00B5553A"/>
    <w:rsid w:val="00B56088"/>
    <w:rsid w:val="00B57972"/>
    <w:rsid w:val="00B63C89"/>
    <w:rsid w:val="00B66AC7"/>
    <w:rsid w:val="00B67871"/>
    <w:rsid w:val="00B76E50"/>
    <w:rsid w:val="00B8011C"/>
    <w:rsid w:val="00B808A1"/>
    <w:rsid w:val="00B81464"/>
    <w:rsid w:val="00B8201E"/>
    <w:rsid w:val="00B83B5A"/>
    <w:rsid w:val="00B8731D"/>
    <w:rsid w:val="00B90F58"/>
    <w:rsid w:val="00B92915"/>
    <w:rsid w:val="00B9358F"/>
    <w:rsid w:val="00B955C1"/>
    <w:rsid w:val="00B959D4"/>
    <w:rsid w:val="00B976A4"/>
    <w:rsid w:val="00B9786E"/>
    <w:rsid w:val="00BA07FF"/>
    <w:rsid w:val="00BA14B5"/>
    <w:rsid w:val="00BA14CE"/>
    <w:rsid w:val="00BA1881"/>
    <w:rsid w:val="00BA2E83"/>
    <w:rsid w:val="00BA3808"/>
    <w:rsid w:val="00BA703D"/>
    <w:rsid w:val="00BA72C8"/>
    <w:rsid w:val="00BA7856"/>
    <w:rsid w:val="00BA786A"/>
    <w:rsid w:val="00BA7FE8"/>
    <w:rsid w:val="00BB4AEE"/>
    <w:rsid w:val="00BB607F"/>
    <w:rsid w:val="00BB7EAA"/>
    <w:rsid w:val="00BC1474"/>
    <w:rsid w:val="00BC1523"/>
    <w:rsid w:val="00BC208A"/>
    <w:rsid w:val="00BC39EF"/>
    <w:rsid w:val="00BC487D"/>
    <w:rsid w:val="00BC50BA"/>
    <w:rsid w:val="00BC62E1"/>
    <w:rsid w:val="00BD0101"/>
    <w:rsid w:val="00BD1249"/>
    <w:rsid w:val="00BD1A17"/>
    <w:rsid w:val="00BD1DE8"/>
    <w:rsid w:val="00BD43DC"/>
    <w:rsid w:val="00BD5368"/>
    <w:rsid w:val="00BD6011"/>
    <w:rsid w:val="00BD71E2"/>
    <w:rsid w:val="00BE0AC9"/>
    <w:rsid w:val="00BE253A"/>
    <w:rsid w:val="00BE34F5"/>
    <w:rsid w:val="00BE3FC1"/>
    <w:rsid w:val="00BE4FC7"/>
    <w:rsid w:val="00BE623C"/>
    <w:rsid w:val="00BE79B8"/>
    <w:rsid w:val="00BF0DD9"/>
    <w:rsid w:val="00BF1214"/>
    <w:rsid w:val="00BF13C1"/>
    <w:rsid w:val="00BF28B8"/>
    <w:rsid w:val="00BF4F50"/>
    <w:rsid w:val="00BF684D"/>
    <w:rsid w:val="00C00EAF"/>
    <w:rsid w:val="00C013D6"/>
    <w:rsid w:val="00C058B9"/>
    <w:rsid w:val="00C06D46"/>
    <w:rsid w:val="00C06E27"/>
    <w:rsid w:val="00C117A7"/>
    <w:rsid w:val="00C1548E"/>
    <w:rsid w:val="00C17990"/>
    <w:rsid w:val="00C2127D"/>
    <w:rsid w:val="00C2342F"/>
    <w:rsid w:val="00C236A3"/>
    <w:rsid w:val="00C238A4"/>
    <w:rsid w:val="00C2447B"/>
    <w:rsid w:val="00C24FA2"/>
    <w:rsid w:val="00C2594C"/>
    <w:rsid w:val="00C25CA6"/>
    <w:rsid w:val="00C27F71"/>
    <w:rsid w:val="00C30D88"/>
    <w:rsid w:val="00C33428"/>
    <w:rsid w:val="00C34685"/>
    <w:rsid w:val="00C36299"/>
    <w:rsid w:val="00C37936"/>
    <w:rsid w:val="00C404F4"/>
    <w:rsid w:val="00C40C27"/>
    <w:rsid w:val="00C410DB"/>
    <w:rsid w:val="00C4298F"/>
    <w:rsid w:val="00C42D69"/>
    <w:rsid w:val="00C43802"/>
    <w:rsid w:val="00C43867"/>
    <w:rsid w:val="00C43B6C"/>
    <w:rsid w:val="00C43F08"/>
    <w:rsid w:val="00C4468D"/>
    <w:rsid w:val="00C50ECC"/>
    <w:rsid w:val="00C51FD4"/>
    <w:rsid w:val="00C60930"/>
    <w:rsid w:val="00C62C60"/>
    <w:rsid w:val="00C63A7D"/>
    <w:rsid w:val="00C64603"/>
    <w:rsid w:val="00C67561"/>
    <w:rsid w:val="00C73485"/>
    <w:rsid w:val="00C73F35"/>
    <w:rsid w:val="00C74420"/>
    <w:rsid w:val="00C751C5"/>
    <w:rsid w:val="00C751E2"/>
    <w:rsid w:val="00C75827"/>
    <w:rsid w:val="00C75960"/>
    <w:rsid w:val="00C75EFA"/>
    <w:rsid w:val="00C77EAE"/>
    <w:rsid w:val="00C832E7"/>
    <w:rsid w:val="00C861CE"/>
    <w:rsid w:val="00C87811"/>
    <w:rsid w:val="00C87A56"/>
    <w:rsid w:val="00C9032C"/>
    <w:rsid w:val="00C91C90"/>
    <w:rsid w:val="00C92529"/>
    <w:rsid w:val="00C94374"/>
    <w:rsid w:val="00C96D59"/>
    <w:rsid w:val="00C96EA1"/>
    <w:rsid w:val="00CA2E4B"/>
    <w:rsid w:val="00CA33E6"/>
    <w:rsid w:val="00CA4427"/>
    <w:rsid w:val="00CA59E2"/>
    <w:rsid w:val="00CA63FB"/>
    <w:rsid w:val="00CB1779"/>
    <w:rsid w:val="00CB2926"/>
    <w:rsid w:val="00CB2E88"/>
    <w:rsid w:val="00CB3403"/>
    <w:rsid w:val="00CB687B"/>
    <w:rsid w:val="00CC1D1B"/>
    <w:rsid w:val="00CC3314"/>
    <w:rsid w:val="00CC5A8D"/>
    <w:rsid w:val="00CD0FA1"/>
    <w:rsid w:val="00CD2A5A"/>
    <w:rsid w:val="00CD75C8"/>
    <w:rsid w:val="00CE03B7"/>
    <w:rsid w:val="00CE077A"/>
    <w:rsid w:val="00CE2884"/>
    <w:rsid w:val="00CE542A"/>
    <w:rsid w:val="00CE6A42"/>
    <w:rsid w:val="00CE6C43"/>
    <w:rsid w:val="00CF19AB"/>
    <w:rsid w:val="00CF2F8E"/>
    <w:rsid w:val="00CF34B3"/>
    <w:rsid w:val="00CF35DB"/>
    <w:rsid w:val="00CF5B15"/>
    <w:rsid w:val="00CF5DC0"/>
    <w:rsid w:val="00CF68C1"/>
    <w:rsid w:val="00CF7122"/>
    <w:rsid w:val="00CF7389"/>
    <w:rsid w:val="00CF7F5F"/>
    <w:rsid w:val="00D00229"/>
    <w:rsid w:val="00D0076E"/>
    <w:rsid w:val="00D01018"/>
    <w:rsid w:val="00D03622"/>
    <w:rsid w:val="00D0402B"/>
    <w:rsid w:val="00D06B57"/>
    <w:rsid w:val="00D12BED"/>
    <w:rsid w:val="00D13FAC"/>
    <w:rsid w:val="00D14DBD"/>
    <w:rsid w:val="00D151D1"/>
    <w:rsid w:val="00D16045"/>
    <w:rsid w:val="00D17A75"/>
    <w:rsid w:val="00D205EC"/>
    <w:rsid w:val="00D22AFA"/>
    <w:rsid w:val="00D22CAE"/>
    <w:rsid w:val="00D23C4B"/>
    <w:rsid w:val="00D2401B"/>
    <w:rsid w:val="00D24F3F"/>
    <w:rsid w:val="00D26853"/>
    <w:rsid w:val="00D2770C"/>
    <w:rsid w:val="00D336EE"/>
    <w:rsid w:val="00D36A2C"/>
    <w:rsid w:val="00D37602"/>
    <w:rsid w:val="00D403BB"/>
    <w:rsid w:val="00D4153A"/>
    <w:rsid w:val="00D416F3"/>
    <w:rsid w:val="00D42A8B"/>
    <w:rsid w:val="00D4383A"/>
    <w:rsid w:val="00D43867"/>
    <w:rsid w:val="00D43C73"/>
    <w:rsid w:val="00D4434F"/>
    <w:rsid w:val="00D45184"/>
    <w:rsid w:val="00D475D0"/>
    <w:rsid w:val="00D5003D"/>
    <w:rsid w:val="00D500DA"/>
    <w:rsid w:val="00D531A3"/>
    <w:rsid w:val="00D5466E"/>
    <w:rsid w:val="00D55493"/>
    <w:rsid w:val="00D56790"/>
    <w:rsid w:val="00D60A47"/>
    <w:rsid w:val="00D63710"/>
    <w:rsid w:val="00D63DD5"/>
    <w:rsid w:val="00D6767D"/>
    <w:rsid w:val="00D7132D"/>
    <w:rsid w:val="00D718C9"/>
    <w:rsid w:val="00D73901"/>
    <w:rsid w:val="00D73BFA"/>
    <w:rsid w:val="00D74C81"/>
    <w:rsid w:val="00D75AC1"/>
    <w:rsid w:val="00D76A53"/>
    <w:rsid w:val="00D801FB"/>
    <w:rsid w:val="00D80900"/>
    <w:rsid w:val="00D80DAD"/>
    <w:rsid w:val="00D821A1"/>
    <w:rsid w:val="00D8255F"/>
    <w:rsid w:val="00D85769"/>
    <w:rsid w:val="00D85B59"/>
    <w:rsid w:val="00D86099"/>
    <w:rsid w:val="00D8641D"/>
    <w:rsid w:val="00D865E9"/>
    <w:rsid w:val="00D86923"/>
    <w:rsid w:val="00D87B07"/>
    <w:rsid w:val="00D94487"/>
    <w:rsid w:val="00D94B09"/>
    <w:rsid w:val="00DA0106"/>
    <w:rsid w:val="00DA0E34"/>
    <w:rsid w:val="00DA2334"/>
    <w:rsid w:val="00DA3B87"/>
    <w:rsid w:val="00DA4F62"/>
    <w:rsid w:val="00DA5F2D"/>
    <w:rsid w:val="00DA6D43"/>
    <w:rsid w:val="00DB0B8E"/>
    <w:rsid w:val="00DB4B5C"/>
    <w:rsid w:val="00DB6A82"/>
    <w:rsid w:val="00DB700C"/>
    <w:rsid w:val="00DC0BD4"/>
    <w:rsid w:val="00DC22F9"/>
    <w:rsid w:val="00DC3DEB"/>
    <w:rsid w:val="00DC4195"/>
    <w:rsid w:val="00DC4665"/>
    <w:rsid w:val="00DC4F9A"/>
    <w:rsid w:val="00DC6926"/>
    <w:rsid w:val="00DC7590"/>
    <w:rsid w:val="00DC7599"/>
    <w:rsid w:val="00DD56C4"/>
    <w:rsid w:val="00DD57F1"/>
    <w:rsid w:val="00DD77CA"/>
    <w:rsid w:val="00DE18AA"/>
    <w:rsid w:val="00DE3A62"/>
    <w:rsid w:val="00DE3E08"/>
    <w:rsid w:val="00DE3FFD"/>
    <w:rsid w:val="00DE48F7"/>
    <w:rsid w:val="00DE4B6E"/>
    <w:rsid w:val="00DE6790"/>
    <w:rsid w:val="00DF154F"/>
    <w:rsid w:val="00DF373F"/>
    <w:rsid w:val="00DF3F9D"/>
    <w:rsid w:val="00DF4480"/>
    <w:rsid w:val="00DF494F"/>
    <w:rsid w:val="00DF56B6"/>
    <w:rsid w:val="00DF5AC2"/>
    <w:rsid w:val="00DF6EEC"/>
    <w:rsid w:val="00E017A9"/>
    <w:rsid w:val="00E01A22"/>
    <w:rsid w:val="00E03AB0"/>
    <w:rsid w:val="00E04418"/>
    <w:rsid w:val="00E07D1E"/>
    <w:rsid w:val="00E1279B"/>
    <w:rsid w:val="00E141E1"/>
    <w:rsid w:val="00E15BC4"/>
    <w:rsid w:val="00E1658A"/>
    <w:rsid w:val="00E201D1"/>
    <w:rsid w:val="00E21D72"/>
    <w:rsid w:val="00E23A2C"/>
    <w:rsid w:val="00E254C0"/>
    <w:rsid w:val="00E2623E"/>
    <w:rsid w:val="00E27F69"/>
    <w:rsid w:val="00E30E3E"/>
    <w:rsid w:val="00E30FE3"/>
    <w:rsid w:val="00E37E8C"/>
    <w:rsid w:val="00E41292"/>
    <w:rsid w:val="00E41621"/>
    <w:rsid w:val="00E43607"/>
    <w:rsid w:val="00E44722"/>
    <w:rsid w:val="00E46E50"/>
    <w:rsid w:val="00E473FC"/>
    <w:rsid w:val="00E534F8"/>
    <w:rsid w:val="00E54421"/>
    <w:rsid w:val="00E5782E"/>
    <w:rsid w:val="00E57EDC"/>
    <w:rsid w:val="00E608F5"/>
    <w:rsid w:val="00E63DA5"/>
    <w:rsid w:val="00E641F3"/>
    <w:rsid w:val="00E65490"/>
    <w:rsid w:val="00E65C4F"/>
    <w:rsid w:val="00E66279"/>
    <w:rsid w:val="00E67237"/>
    <w:rsid w:val="00E70573"/>
    <w:rsid w:val="00E763EC"/>
    <w:rsid w:val="00E773FC"/>
    <w:rsid w:val="00E7790C"/>
    <w:rsid w:val="00E77D08"/>
    <w:rsid w:val="00E80658"/>
    <w:rsid w:val="00E8103C"/>
    <w:rsid w:val="00E82A91"/>
    <w:rsid w:val="00E82B10"/>
    <w:rsid w:val="00E85027"/>
    <w:rsid w:val="00E876F1"/>
    <w:rsid w:val="00E905CC"/>
    <w:rsid w:val="00E93716"/>
    <w:rsid w:val="00E944F0"/>
    <w:rsid w:val="00E948C8"/>
    <w:rsid w:val="00E951BB"/>
    <w:rsid w:val="00EA0F40"/>
    <w:rsid w:val="00EA34B8"/>
    <w:rsid w:val="00EA48FD"/>
    <w:rsid w:val="00EA61AF"/>
    <w:rsid w:val="00EA7BBC"/>
    <w:rsid w:val="00EA7DF0"/>
    <w:rsid w:val="00EB0356"/>
    <w:rsid w:val="00EB06CC"/>
    <w:rsid w:val="00EB2AEA"/>
    <w:rsid w:val="00EB2E92"/>
    <w:rsid w:val="00EB3874"/>
    <w:rsid w:val="00EB3BD8"/>
    <w:rsid w:val="00EB44C6"/>
    <w:rsid w:val="00EB7790"/>
    <w:rsid w:val="00EC0CFF"/>
    <w:rsid w:val="00EC220F"/>
    <w:rsid w:val="00EC2A50"/>
    <w:rsid w:val="00EC7CBA"/>
    <w:rsid w:val="00ED0CFC"/>
    <w:rsid w:val="00ED2295"/>
    <w:rsid w:val="00ED242E"/>
    <w:rsid w:val="00ED4830"/>
    <w:rsid w:val="00ED586F"/>
    <w:rsid w:val="00ED63D5"/>
    <w:rsid w:val="00ED76FB"/>
    <w:rsid w:val="00EE1689"/>
    <w:rsid w:val="00EE5DC2"/>
    <w:rsid w:val="00EF0C11"/>
    <w:rsid w:val="00EF0E36"/>
    <w:rsid w:val="00EF2BC2"/>
    <w:rsid w:val="00EF5247"/>
    <w:rsid w:val="00EF6914"/>
    <w:rsid w:val="00F00027"/>
    <w:rsid w:val="00F00B2D"/>
    <w:rsid w:val="00F00E95"/>
    <w:rsid w:val="00F013FE"/>
    <w:rsid w:val="00F06960"/>
    <w:rsid w:val="00F1309C"/>
    <w:rsid w:val="00F16B46"/>
    <w:rsid w:val="00F20360"/>
    <w:rsid w:val="00F2174A"/>
    <w:rsid w:val="00F227FC"/>
    <w:rsid w:val="00F23045"/>
    <w:rsid w:val="00F24F2B"/>
    <w:rsid w:val="00F27BB0"/>
    <w:rsid w:val="00F3142F"/>
    <w:rsid w:val="00F33172"/>
    <w:rsid w:val="00F36E14"/>
    <w:rsid w:val="00F40827"/>
    <w:rsid w:val="00F41166"/>
    <w:rsid w:val="00F4116E"/>
    <w:rsid w:val="00F439CC"/>
    <w:rsid w:val="00F43A9F"/>
    <w:rsid w:val="00F4407B"/>
    <w:rsid w:val="00F44EEA"/>
    <w:rsid w:val="00F45966"/>
    <w:rsid w:val="00F459E8"/>
    <w:rsid w:val="00F46AE4"/>
    <w:rsid w:val="00F502C9"/>
    <w:rsid w:val="00F52976"/>
    <w:rsid w:val="00F53BB7"/>
    <w:rsid w:val="00F554E3"/>
    <w:rsid w:val="00F561A0"/>
    <w:rsid w:val="00F56F80"/>
    <w:rsid w:val="00F57AC7"/>
    <w:rsid w:val="00F607B5"/>
    <w:rsid w:val="00F608E8"/>
    <w:rsid w:val="00F60B43"/>
    <w:rsid w:val="00F66BB3"/>
    <w:rsid w:val="00F66D08"/>
    <w:rsid w:val="00F67162"/>
    <w:rsid w:val="00F6779D"/>
    <w:rsid w:val="00F736E9"/>
    <w:rsid w:val="00F74388"/>
    <w:rsid w:val="00F7616F"/>
    <w:rsid w:val="00F818D9"/>
    <w:rsid w:val="00F81A17"/>
    <w:rsid w:val="00F83179"/>
    <w:rsid w:val="00F8410E"/>
    <w:rsid w:val="00F84D1B"/>
    <w:rsid w:val="00F8517E"/>
    <w:rsid w:val="00F86BC4"/>
    <w:rsid w:val="00F87B20"/>
    <w:rsid w:val="00F91E6D"/>
    <w:rsid w:val="00F92913"/>
    <w:rsid w:val="00F933CA"/>
    <w:rsid w:val="00F93757"/>
    <w:rsid w:val="00F948D0"/>
    <w:rsid w:val="00F9492C"/>
    <w:rsid w:val="00F97513"/>
    <w:rsid w:val="00FA5E98"/>
    <w:rsid w:val="00FA65FA"/>
    <w:rsid w:val="00FA6A75"/>
    <w:rsid w:val="00FB389E"/>
    <w:rsid w:val="00FB4CAA"/>
    <w:rsid w:val="00FB72EB"/>
    <w:rsid w:val="00FB76BB"/>
    <w:rsid w:val="00FB7A5C"/>
    <w:rsid w:val="00FC048F"/>
    <w:rsid w:val="00FC1598"/>
    <w:rsid w:val="00FC1E9D"/>
    <w:rsid w:val="00FC3759"/>
    <w:rsid w:val="00FC6109"/>
    <w:rsid w:val="00FC746C"/>
    <w:rsid w:val="00FC7745"/>
    <w:rsid w:val="00FD1C64"/>
    <w:rsid w:val="00FD1DB0"/>
    <w:rsid w:val="00FD2150"/>
    <w:rsid w:val="00FD2E5F"/>
    <w:rsid w:val="00FD6750"/>
    <w:rsid w:val="00FD6B48"/>
    <w:rsid w:val="00FE2249"/>
    <w:rsid w:val="00FE392D"/>
    <w:rsid w:val="00FE5959"/>
    <w:rsid w:val="00FF0057"/>
    <w:rsid w:val="00FF051A"/>
    <w:rsid w:val="00FF093A"/>
    <w:rsid w:val="00FF0AAA"/>
    <w:rsid w:val="00FF122C"/>
    <w:rsid w:val="00FF1723"/>
    <w:rsid w:val="00FF2B66"/>
    <w:rsid w:val="00FF2E4A"/>
    <w:rsid w:val="00FF44F6"/>
    <w:rsid w:val="00FF76FB"/>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93052"/>
  <w15:docId w15:val="{432AB765-5844-4CB9-A0C1-F06FE2D3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7C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6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36804"/>
    <w:rPr>
      <w:color w:val="0000FF"/>
      <w:u w:val="single"/>
    </w:rPr>
  </w:style>
  <w:style w:type="paragraph" w:styleId="Header">
    <w:name w:val="header"/>
    <w:basedOn w:val="Normal"/>
    <w:link w:val="HeaderChar"/>
    <w:rsid w:val="00BE3FC1"/>
    <w:pPr>
      <w:tabs>
        <w:tab w:val="center" w:pos="4513"/>
        <w:tab w:val="right" w:pos="9026"/>
      </w:tabs>
    </w:pPr>
    <w:rPr>
      <w:lang w:val="en-US" w:eastAsia="en-US"/>
    </w:rPr>
  </w:style>
  <w:style w:type="character" w:customStyle="1" w:styleId="HeaderChar">
    <w:name w:val="Header Char"/>
    <w:link w:val="Header"/>
    <w:rsid w:val="00BE3FC1"/>
    <w:rPr>
      <w:sz w:val="24"/>
      <w:szCs w:val="24"/>
      <w:lang w:val="en-US" w:eastAsia="en-US"/>
    </w:rPr>
  </w:style>
  <w:style w:type="paragraph" w:styleId="Footer">
    <w:name w:val="footer"/>
    <w:basedOn w:val="Normal"/>
    <w:link w:val="FooterChar"/>
    <w:uiPriority w:val="99"/>
    <w:rsid w:val="00BE3FC1"/>
    <w:pPr>
      <w:tabs>
        <w:tab w:val="center" w:pos="4513"/>
        <w:tab w:val="right" w:pos="9026"/>
      </w:tabs>
    </w:pPr>
    <w:rPr>
      <w:lang w:val="en-US" w:eastAsia="en-US"/>
    </w:rPr>
  </w:style>
  <w:style w:type="character" w:customStyle="1" w:styleId="FooterChar">
    <w:name w:val="Footer Char"/>
    <w:link w:val="Footer"/>
    <w:uiPriority w:val="99"/>
    <w:rsid w:val="00BE3FC1"/>
    <w:rPr>
      <w:sz w:val="24"/>
      <w:szCs w:val="24"/>
      <w:lang w:val="en-US" w:eastAsia="en-US"/>
    </w:rPr>
  </w:style>
  <w:style w:type="paragraph" w:styleId="BalloonText">
    <w:name w:val="Balloon Text"/>
    <w:basedOn w:val="Normal"/>
    <w:link w:val="BalloonTextChar"/>
    <w:rsid w:val="00913462"/>
    <w:rPr>
      <w:rFonts w:ascii="Segoe UI" w:hAnsi="Segoe UI"/>
      <w:sz w:val="18"/>
      <w:szCs w:val="18"/>
      <w:lang w:val="en-US" w:eastAsia="en-US"/>
    </w:rPr>
  </w:style>
  <w:style w:type="character" w:customStyle="1" w:styleId="BalloonTextChar">
    <w:name w:val="Balloon Text Char"/>
    <w:link w:val="BalloonText"/>
    <w:rsid w:val="00913462"/>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91280">
      <w:bodyDiv w:val="1"/>
      <w:marLeft w:val="0"/>
      <w:marRight w:val="0"/>
      <w:marTop w:val="0"/>
      <w:marBottom w:val="0"/>
      <w:divBdr>
        <w:top w:val="none" w:sz="0" w:space="0" w:color="auto"/>
        <w:left w:val="none" w:sz="0" w:space="0" w:color="auto"/>
        <w:bottom w:val="none" w:sz="0" w:space="0" w:color="auto"/>
        <w:right w:val="none" w:sz="0" w:space="0" w:color="auto"/>
      </w:divBdr>
    </w:div>
    <w:div w:id="131362197">
      <w:bodyDiv w:val="1"/>
      <w:marLeft w:val="0"/>
      <w:marRight w:val="0"/>
      <w:marTop w:val="0"/>
      <w:marBottom w:val="0"/>
      <w:divBdr>
        <w:top w:val="none" w:sz="0" w:space="0" w:color="auto"/>
        <w:left w:val="none" w:sz="0" w:space="0" w:color="auto"/>
        <w:bottom w:val="none" w:sz="0" w:space="0" w:color="auto"/>
        <w:right w:val="none" w:sz="0" w:space="0" w:color="auto"/>
      </w:divBdr>
    </w:div>
    <w:div w:id="146212125">
      <w:bodyDiv w:val="1"/>
      <w:marLeft w:val="0"/>
      <w:marRight w:val="0"/>
      <w:marTop w:val="0"/>
      <w:marBottom w:val="0"/>
      <w:divBdr>
        <w:top w:val="none" w:sz="0" w:space="0" w:color="auto"/>
        <w:left w:val="none" w:sz="0" w:space="0" w:color="auto"/>
        <w:bottom w:val="none" w:sz="0" w:space="0" w:color="auto"/>
        <w:right w:val="none" w:sz="0" w:space="0" w:color="auto"/>
      </w:divBdr>
    </w:div>
    <w:div w:id="246161194">
      <w:bodyDiv w:val="1"/>
      <w:marLeft w:val="0"/>
      <w:marRight w:val="0"/>
      <w:marTop w:val="0"/>
      <w:marBottom w:val="0"/>
      <w:divBdr>
        <w:top w:val="none" w:sz="0" w:space="0" w:color="auto"/>
        <w:left w:val="none" w:sz="0" w:space="0" w:color="auto"/>
        <w:bottom w:val="none" w:sz="0" w:space="0" w:color="auto"/>
        <w:right w:val="none" w:sz="0" w:space="0" w:color="auto"/>
      </w:divBdr>
    </w:div>
    <w:div w:id="354506535">
      <w:bodyDiv w:val="1"/>
      <w:marLeft w:val="0"/>
      <w:marRight w:val="0"/>
      <w:marTop w:val="0"/>
      <w:marBottom w:val="0"/>
      <w:divBdr>
        <w:top w:val="none" w:sz="0" w:space="0" w:color="auto"/>
        <w:left w:val="none" w:sz="0" w:space="0" w:color="auto"/>
        <w:bottom w:val="none" w:sz="0" w:space="0" w:color="auto"/>
        <w:right w:val="none" w:sz="0" w:space="0" w:color="auto"/>
      </w:divBdr>
    </w:div>
    <w:div w:id="401296593">
      <w:bodyDiv w:val="1"/>
      <w:marLeft w:val="0"/>
      <w:marRight w:val="0"/>
      <w:marTop w:val="0"/>
      <w:marBottom w:val="0"/>
      <w:divBdr>
        <w:top w:val="none" w:sz="0" w:space="0" w:color="auto"/>
        <w:left w:val="none" w:sz="0" w:space="0" w:color="auto"/>
        <w:bottom w:val="none" w:sz="0" w:space="0" w:color="auto"/>
        <w:right w:val="none" w:sz="0" w:space="0" w:color="auto"/>
      </w:divBdr>
    </w:div>
    <w:div w:id="447747383">
      <w:bodyDiv w:val="1"/>
      <w:marLeft w:val="0"/>
      <w:marRight w:val="0"/>
      <w:marTop w:val="0"/>
      <w:marBottom w:val="0"/>
      <w:divBdr>
        <w:top w:val="none" w:sz="0" w:space="0" w:color="auto"/>
        <w:left w:val="none" w:sz="0" w:space="0" w:color="auto"/>
        <w:bottom w:val="none" w:sz="0" w:space="0" w:color="auto"/>
        <w:right w:val="none" w:sz="0" w:space="0" w:color="auto"/>
      </w:divBdr>
    </w:div>
    <w:div w:id="767457997">
      <w:bodyDiv w:val="1"/>
      <w:marLeft w:val="0"/>
      <w:marRight w:val="0"/>
      <w:marTop w:val="0"/>
      <w:marBottom w:val="0"/>
      <w:divBdr>
        <w:top w:val="none" w:sz="0" w:space="0" w:color="auto"/>
        <w:left w:val="none" w:sz="0" w:space="0" w:color="auto"/>
        <w:bottom w:val="none" w:sz="0" w:space="0" w:color="auto"/>
        <w:right w:val="none" w:sz="0" w:space="0" w:color="auto"/>
      </w:divBdr>
    </w:div>
    <w:div w:id="889028211">
      <w:bodyDiv w:val="1"/>
      <w:marLeft w:val="0"/>
      <w:marRight w:val="0"/>
      <w:marTop w:val="0"/>
      <w:marBottom w:val="0"/>
      <w:divBdr>
        <w:top w:val="none" w:sz="0" w:space="0" w:color="auto"/>
        <w:left w:val="none" w:sz="0" w:space="0" w:color="auto"/>
        <w:bottom w:val="none" w:sz="0" w:space="0" w:color="auto"/>
        <w:right w:val="none" w:sz="0" w:space="0" w:color="auto"/>
      </w:divBdr>
    </w:div>
    <w:div w:id="895550621">
      <w:bodyDiv w:val="1"/>
      <w:marLeft w:val="0"/>
      <w:marRight w:val="0"/>
      <w:marTop w:val="0"/>
      <w:marBottom w:val="0"/>
      <w:divBdr>
        <w:top w:val="none" w:sz="0" w:space="0" w:color="auto"/>
        <w:left w:val="none" w:sz="0" w:space="0" w:color="auto"/>
        <w:bottom w:val="none" w:sz="0" w:space="0" w:color="auto"/>
        <w:right w:val="none" w:sz="0" w:space="0" w:color="auto"/>
      </w:divBdr>
    </w:div>
    <w:div w:id="1117215301">
      <w:bodyDiv w:val="1"/>
      <w:marLeft w:val="0"/>
      <w:marRight w:val="0"/>
      <w:marTop w:val="0"/>
      <w:marBottom w:val="0"/>
      <w:divBdr>
        <w:top w:val="none" w:sz="0" w:space="0" w:color="auto"/>
        <w:left w:val="none" w:sz="0" w:space="0" w:color="auto"/>
        <w:bottom w:val="none" w:sz="0" w:space="0" w:color="auto"/>
        <w:right w:val="none" w:sz="0" w:space="0" w:color="auto"/>
      </w:divBdr>
    </w:div>
    <w:div w:id="1203130824">
      <w:bodyDiv w:val="1"/>
      <w:marLeft w:val="0"/>
      <w:marRight w:val="0"/>
      <w:marTop w:val="0"/>
      <w:marBottom w:val="0"/>
      <w:divBdr>
        <w:top w:val="none" w:sz="0" w:space="0" w:color="auto"/>
        <w:left w:val="none" w:sz="0" w:space="0" w:color="auto"/>
        <w:bottom w:val="none" w:sz="0" w:space="0" w:color="auto"/>
        <w:right w:val="none" w:sz="0" w:space="0" w:color="auto"/>
      </w:divBdr>
    </w:div>
    <w:div w:id="1261523118">
      <w:bodyDiv w:val="1"/>
      <w:marLeft w:val="0"/>
      <w:marRight w:val="0"/>
      <w:marTop w:val="0"/>
      <w:marBottom w:val="0"/>
      <w:divBdr>
        <w:top w:val="none" w:sz="0" w:space="0" w:color="auto"/>
        <w:left w:val="none" w:sz="0" w:space="0" w:color="auto"/>
        <w:bottom w:val="none" w:sz="0" w:space="0" w:color="auto"/>
        <w:right w:val="none" w:sz="0" w:space="0" w:color="auto"/>
      </w:divBdr>
    </w:div>
    <w:div w:id="1376734086">
      <w:bodyDiv w:val="1"/>
      <w:marLeft w:val="0"/>
      <w:marRight w:val="0"/>
      <w:marTop w:val="0"/>
      <w:marBottom w:val="0"/>
      <w:divBdr>
        <w:top w:val="none" w:sz="0" w:space="0" w:color="auto"/>
        <w:left w:val="none" w:sz="0" w:space="0" w:color="auto"/>
        <w:bottom w:val="none" w:sz="0" w:space="0" w:color="auto"/>
        <w:right w:val="none" w:sz="0" w:space="0" w:color="auto"/>
      </w:divBdr>
    </w:div>
    <w:div w:id="1485003902">
      <w:bodyDiv w:val="1"/>
      <w:marLeft w:val="0"/>
      <w:marRight w:val="0"/>
      <w:marTop w:val="0"/>
      <w:marBottom w:val="0"/>
      <w:divBdr>
        <w:top w:val="none" w:sz="0" w:space="0" w:color="auto"/>
        <w:left w:val="none" w:sz="0" w:space="0" w:color="auto"/>
        <w:bottom w:val="none" w:sz="0" w:space="0" w:color="auto"/>
        <w:right w:val="none" w:sz="0" w:space="0" w:color="auto"/>
      </w:divBdr>
    </w:div>
    <w:div w:id="1633364018">
      <w:bodyDiv w:val="1"/>
      <w:marLeft w:val="0"/>
      <w:marRight w:val="0"/>
      <w:marTop w:val="0"/>
      <w:marBottom w:val="0"/>
      <w:divBdr>
        <w:top w:val="none" w:sz="0" w:space="0" w:color="auto"/>
        <w:left w:val="none" w:sz="0" w:space="0" w:color="auto"/>
        <w:bottom w:val="none" w:sz="0" w:space="0" w:color="auto"/>
        <w:right w:val="none" w:sz="0" w:space="0" w:color="auto"/>
      </w:divBdr>
    </w:div>
    <w:div w:id="1637836949">
      <w:bodyDiv w:val="1"/>
      <w:marLeft w:val="0"/>
      <w:marRight w:val="0"/>
      <w:marTop w:val="0"/>
      <w:marBottom w:val="0"/>
      <w:divBdr>
        <w:top w:val="none" w:sz="0" w:space="0" w:color="auto"/>
        <w:left w:val="none" w:sz="0" w:space="0" w:color="auto"/>
        <w:bottom w:val="none" w:sz="0" w:space="0" w:color="auto"/>
        <w:right w:val="none" w:sz="0" w:space="0" w:color="auto"/>
      </w:divBdr>
    </w:div>
    <w:div w:id="1835143443">
      <w:bodyDiv w:val="1"/>
      <w:marLeft w:val="0"/>
      <w:marRight w:val="0"/>
      <w:marTop w:val="0"/>
      <w:marBottom w:val="0"/>
      <w:divBdr>
        <w:top w:val="none" w:sz="0" w:space="0" w:color="auto"/>
        <w:left w:val="none" w:sz="0" w:space="0" w:color="auto"/>
        <w:bottom w:val="none" w:sz="0" w:space="0" w:color="auto"/>
        <w:right w:val="none" w:sz="0" w:space="0" w:color="auto"/>
      </w:divBdr>
    </w:div>
    <w:div w:id="1932931155">
      <w:bodyDiv w:val="1"/>
      <w:marLeft w:val="0"/>
      <w:marRight w:val="0"/>
      <w:marTop w:val="0"/>
      <w:marBottom w:val="0"/>
      <w:divBdr>
        <w:top w:val="none" w:sz="0" w:space="0" w:color="auto"/>
        <w:left w:val="none" w:sz="0" w:space="0" w:color="auto"/>
        <w:bottom w:val="none" w:sz="0" w:space="0" w:color="auto"/>
        <w:right w:val="none" w:sz="0" w:space="0" w:color="auto"/>
      </w:divBdr>
    </w:div>
    <w:div w:id="1962179770">
      <w:bodyDiv w:val="1"/>
      <w:marLeft w:val="0"/>
      <w:marRight w:val="0"/>
      <w:marTop w:val="0"/>
      <w:marBottom w:val="0"/>
      <w:divBdr>
        <w:top w:val="none" w:sz="0" w:space="0" w:color="auto"/>
        <w:left w:val="none" w:sz="0" w:space="0" w:color="auto"/>
        <w:bottom w:val="none" w:sz="0" w:space="0" w:color="auto"/>
        <w:right w:val="none" w:sz="0" w:space="0" w:color="auto"/>
      </w:divBdr>
    </w:div>
    <w:div w:id="1991785539">
      <w:bodyDiv w:val="1"/>
      <w:marLeft w:val="0"/>
      <w:marRight w:val="0"/>
      <w:marTop w:val="0"/>
      <w:marBottom w:val="0"/>
      <w:divBdr>
        <w:top w:val="none" w:sz="0" w:space="0" w:color="auto"/>
        <w:left w:val="none" w:sz="0" w:space="0" w:color="auto"/>
        <w:bottom w:val="none" w:sz="0" w:space="0" w:color="auto"/>
        <w:right w:val="none" w:sz="0" w:space="0" w:color="auto"/>
      </w:divBdr>
    </w:div>
    <w:div w:id="211258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7E7EF-EEE8-42F5-954D-E166D6446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7</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Ranking of debt securities</vt:lpstr>
    </vt:vector>
  </TitlesOfParts>
  <Company>CL</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Ranking of debt securities</dc:title>
  <dc:subject/>
  <dc:creator>james</dc:creator>
  <cp:keywords/>
  <cp:lastModifiedBy>Victor Pliev</cp:lastModifiedBy>
  <cp:revision>61</cp:revision>
  <cp:lastPrinted>2022-07-29T02:39:00Z</cp:lastPrinted>
  <dcterms:created xsi:type="dcterms:W3CDTF">2018-07-08T06:20:00Z</dcterms:created>
  <dcterms:modified xsi:type="dcterms:W3CDTF">2023-07-26T21:34:00Z</dcterms:modified>
</cp:coreProperties>
</file>