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E5E36" w14:textId="7BF80BD7" w:rsidR="00A0306C" w:rsidRDefault="00305462">
      <w:pPr>
        <w:spacing w:before="28" w:line="282" w:lineRule="exact"/>
        <w:textAlignment w:val="baseline"/>
        <w:rPr>
          <w:rFonts w:ascii="Arial" w:eastAsia="Arial" w:hAnsi="Arial"/>
          <w:b/>
          <w:color w:val="000000"/>
          <w:sz w:val="24"/>
        </w:rPr>
      </w:pPr>
      <w:r>
        <w:rPr>
          <w:rFonts w:ascii="Arial" w:eastAsia="Arial" w:hAnsi="Arial"/>
          <w:b/>
          <w:color w:val="000000"/>
          <w:sz w:val="24"/>
        </w:rPr>
        <w:t xml:space="preserve">Market index </w:t>
      </w:r>
      <w:r>
        <w:rPr>
          <w:rFonts w:ascii="Arial" w:eastAsia="Arial" w:hAnsi="Arial"/>
          <w:b/>
          <w:color w:val="000000"/>
          <w:sz w:val="26"/>
        </w:rPr>
        <w:t xml:space="preserve">– </w:t>
      </w:r>
      <w:proofErr w:type="spellStart"/>
      <w:r w:rsidR="003E1326">
        <w:rPr>
          <w:rFonts w:ascii="Arial" w:eastAsia="Arial" w:hAnsi="Arial"/>
          <w:b/>
          <w:color w:val="000000"/>
          <w:sz w:val="24"/>
        </w:rPr>
        <w:t>SuperEasy</w:t>
      </w:r>
      <w:proofErr w:type="spellEnd"/>
      <w:r w:rsidR="003E1326">
        <w:rPr>
          <w:rFonts w:ascii="Arial" w:eastAsia="Arial" w:hAnsi="Arial"/>
          <w:b/>
          <w:color w:val="000000"/>
          <w:sz w:val="24"/>
        </w:rPr>
        <w:t xml:space="preserve"> KiwiSaver</w:t>
      </w:r>
      <w:r>
        <w:rPr>
          <w:rFonts w:ascii="Arial" w:eastAsia="Arial" w:hAnsi="Arial"/>
          <w:b/>
          <w:color w:val="000000"/>
          <w:sz w:val="24"/>
        </w:rPr>
        <w:t xml:space="preserve"> Superannuation Scheme</w:t>
      </w:r>
    </w:p>
    <w:p w14:paraId="3F9E5E37" w14:textId="48FC9E40" w:rsidR="00A0306C" w:rsidRDefault="00B12447">
      <w:pPr>
        <w:spacing w:before="226" w:line="229" w:lineRule="exact"/>
        <w:textAlignment w:val="baseline"/>
        <w:rPr>
          <w:rFonts w:ascii="Arial" w:eastAsia="Arial" w:hAnsi="Arial"/>
          <w:b/>
          <w:color w:val="000000"/>
          <w:sz w:val="20"/>
        </w:rPr>
      </w:pPr>
      <w:r>
        <w:rPr>
          <w:rFonts w:ascii="Arial" w:eastAsia="Arial" w:hAnsi="Arial"/>
          <w:b/>
          <w:color w:val="000000"/>
          <w:sz w:val="20"/>
        </w:rPr>
        <w:t>1 July 2024</w:t>
      </w:r>
    </w:p>
    <w:p w14:paraId="3F9E5E38" w14:textId="0142FD67" w:rsidR="00A0306C" w:rsidRDefault="00305462">
      <w:pPr>
        <w:spacing w:before="183" w:line="280" w:lineRule="exact"/>
        <w:ind w:right="144"/>
        <w:textAlignment w:val="baseline"/>
        <w:rPr>
          <w:rFonts w:ascii="Arial" w:eastAsia="Arial" w:hAnsi="Arial"/>
          <w:color w:val="000000"/>
          <w:sz w:val="20"/>
        </w:rPr>
      </w:pPr>
      <w:r>
        <w:rPr>
          <w:rFonts w:ascii="Arial" w:eastAsia="Arial" w:hAnsi="Arial"/>
          <w:color w:val="000000"/>
          <w:sz w:val="20"/>
        </w:rPr>
        <w:t xml:space="preserve">We will report on the performance of each of the funds within the </w:t>
      </w:r>
      <w:proofErr w:type="spellStart"/>
      <w:r w:rsidR="003E1326">
        <w:rPr>
          <w:rFonts w:ascii="Arial" w:eastAsia="Arial" w:hAnsi="Arial"/>
          <w:color w:val="000000"/>
          <w:sz w:val="20"/>
        </w:rPr>
        <w:t>SuperEasy</w:t>
      </w:r>
      <w:proofErr w:type="spellEnd"/>
      <w:r w:rsidR="003E1326">
        <w:rPr>
          <w:rFonts w:ascii="Arial" w:eastAsia="Arial" w:hAnsi="Arial"/>
          <w:color w:val="000000"/>
          <w:sz w:val="20"/>
        </w:rPr>
        <w:t xml:space="preserve"> KiwiSaver</w:t>
      </w:r>
      <w:r>
        <w:rPr>
          <w:rFonts w:ascii="Arial" w:eastAsia="Arial" w:hAnsi="Arial"/>
          <w:color w:val="000000"/>
          <w:sz w:val="20"/>
        </w:rPr>
        <w:t xml:space="preserve"> Superannuation Scheme (</w:t>
      </w:r>
      <w:r>
        <w:rPr>
          <w:rFonts w:ascii="Arial" w:eastAsia="Arial" w:hAnsi="Arial"/>
          <w:b/>
          <w:color w:val="000000"/>
          <w:sz w:val="20"/>
        </w:rPr>
        <w:t>Scheme</w:t>
      </w:r>
      <w:r>
        <w:rPr>
          <w:rFonts w:ascii="Arial" w:eastAsia="Arial" w:hAnsi="Arial"/>
          <w:color w:val="000000"/>
          <w:sz w:val="20"/>
        </w:rPr>
        <w:t>) against a market index that we consider best reflects the mix of assets each fund invests in.</w:t>
      </w:r>
    </w:p>
    <w:p w14:paraId="3F9E5E39" w14:textId="77777777" w:rsidR="00A0306C" w:rsidRDefault="00305462">
      <w:pPr>
        <w:spacing w:before="175" w:line="281" w:lineRule="exact"/>
        <w:ind w:right="144"/>
        <w:textAlignment w:val="baseline"/>
        <w:rPr>
          <w:rFonts w:ascii="Arial" w:eastAsia="Arial" w:hAnsi="Arial"/>
          <w:color w:val="000000"/>
          <w:sz w:val="20"/>
        </w:rPr>
      </w:pPr>
      <w:r>
        <w:rPr>
          <w:rFonts w:ascii="Arial" w:eastAsia="Arial" w:hAnsi="Arial"/>
          <w:color w:val="000000"/>
          <w:sz w:val="20"/>
        </w:rPr>
        <w:t>This means the market index for each of the funds is a composite index. It is made up of the benchmark indices used to measure the performance of each underlying fund/asset class into which each fund invests.</w:t>
      </w:r>
    </w:p>
    <w:p w14:paraId="3F9E5E3A" w14:textId="77777777" w:rsidR="00A0306C" w:rsidRDefault="00305462">
      <w:pPr>
        <w:spacing w:before="178" w:line="278" w:lineRule="exact"/>
        <w:ind w:right="144"/>
        <w:textAlignment w:val="baseline"/>
        <w:rPr>
          <w:rFonts w:ascii="Arial" w:eastAsia="Arial" w:hAnsi="Arial"/>
          <w:color w:val="000000"/>
          <w:sz w:val="20"/>
        </w:rPr>
      </w:pPr>
      <w:r>
        <w:rPr>
          <w:rFonts w:ascii="Arial" w:eastAsia="Arial" w:hAnsi="Arial"/>
          <w:color w:val="000000"/>
          <w:sz w:val="20"/>
        </w:rPr>
        <w:t>Accordingly, the market index return for each of the funds is a composite return, calculated using the weighted average return of the benchmark indices used to measure the performance of the</w:t>
      </w:r>
    </w:p>
    <w:p w14:paraId="3F9E5E3B" w14:textId="77777777" w:rsidR="00A0306C" w:rsidRDefault="00305462">
      <w:pPr>
        <w:spacing w:before="54" w:line="230" w:lineRule="exact"/>
        <w:textAlignment w:val="baseline"/>
        <w:rPr>
          <w:rFonts w:ascii="Arial" w:eastAsia="Arial" w:hAnsi="Arial"/>
          <w:color w:val="000000"/>
          <w:sz w:val="20"/>
        </w:rPr>
      </w:pPr>
      <w:r>
        <w:rPr>
          <w:rFonts w:ascii="Arial" w:eastAsia="Arial" w:hAnsi="Arial"/>
          <w:color w:val="000000"/>
          <w:sz w:val="20"/>
        </w:rPr>
        <w:t>underlying funds/assets into which each fund invests.</w:t>
      </w:r>
    </w:p>
    <w:p w14:paraId="3F9E5E3C" w14:textId="77777777" w:rsidR="00A0306C" w:rsidRDefault="00305462">
      <w:pPr>
        <w:spacing w:before="181" w:line="278" w:lineRule="exact"/>
        <w:textAlignment w:val="baseline"/>
        <w:rPr>
          <w:rFonts w:ascii="Arial" w:eastAsia="Arial" w:hAnsi="Arial"/>
          <w:color w:val="000000"/>
          <w:sz w:val="20"/>
        </w:rPr>
      </w:pPr>
      <w:r>
        <w:rPr>
          <w:rFonts w:ascii="Arial" w:eastAsia="Arial" w:hAnsi="Arial"/>
          <w:color w:val="000000"/>
          <w:sz w:val="20"/>
        </w:rPr>
        <w:t>The weighted average return is calculated by multiplying the benchmark return for each asset class by the specific benchmark asset allocation weights of each fund. This market index return provides a relative measure of the funds’ performance.</w:t>
      </w:r>
    </w:p>
    <w:p w14:paraId="731CC1C8" w14:textId="29F61B64" w:rsidR="006368F5" w:rsidRDefault="006368F5" w:rsidP="006368F5">
      <w:pPr>
        <w:spacing w:before="181" w:line="278" w:lineRule="exact"/>
        <w:textAlignment w:val="baseline"/>
        <w:rPr>
          <w:rFonts w:ascii="Arial" w:eastAsia="Arial" w:hAnsi="Arial"/>
          <w:color w:val="000000"/>
          <w:sz w:val="20"/>
        </w:rPr>
      </w:pPr>
      <w:r>
        <w:rPr>
          <w:rFonts w:ascii="Arial" w:eastAsia="Arial" w:hAnsi="Arial"/>
          <w:color w:val="000000"/>
          <w:sz w:val="20"/>
        </w:rPr>
        <w:t>The same market index returns</w:t>
      </w:r>
      <w:r w:rsidRPr="0048125E">
        <w:rPr>
          <w:rFonts w:ascii="Arial" w:eastAsia="Arial" w:hAnsi="Arial"/>
          <w:color w:val="000000"/>
          <w:sz w:val="20"/>
        </w:rPr>
        <w:t xml:space="preserve"> </w:t>
      </w:r>
      <w:r>
        <w:rPr>
          <w:rFonts w:ascii="Arial" w:eastAsia="Arial" w:hAnsi="Arial"/>
          <w:color w:val="000000"/>
          <w:sz w:val="20"/>
        </w:rPr>
        <w:t xml:space="preserve">for periods preceding 1 </w:t>
      </w:r>
      <w:r w:rsidR="006F4D4A">
        <w:rPr>
          <w:rFonts w:ascii="Arial" w:eastAsia="Arial" w:hAnsi="Arial"/>
          <w:color w:val="000000"/>
          <w:sz w:val="20"/>
        </w:rPr>
        <w:t>September</w:t>
      </w:r>
      <w:r>
        <w:rPr>
          <w:rFonts w:ascii="Arial" w:eastAsia="Arial" w:hAnsi="Arial"/>
          <w:color w:val="000000"/>
          <w:sz w:val="20"/>
        </w:rPr>
        <w:t xml:space="preserve"> 2021, and corresponding market volatility, are used in the calculation of the risk indicators for the </w:t>
      </w:r>
      <w:r w:rsidR="006F4D4A">
        <w:rPr>
          <w:rFonts w:ascii="Arial" w:eastAsia="Arial" w:hAnsi="Arial"/>
          <w:color w:val="000000"/>
          <w:sz w:val="20"/>
        </w:rPr>
        <w:t>funds. A</w:t>
      </w:r>
      <w:r>
        <w:rPr>
          <w:rFonts w:ascii="Arial" w:eastAsia="Arial" w:hAnsi="Arial"/>
          <w:color w:val="000000"/>
          <w:sz w:val="20"/>
        </w:rPr>
        <w:t>ctual returns</w:t>
      </w:r>
      <w:r w:rsidR="006F4D4A">
        <w:rPr>
          <w:rFonts w:ascii="Arial" w:eastAsia="Arial" w:hAnsi="Arial"/>
          <w:color w:val="000000"/>
          <w:sz w:val="20"/>
        </w:rPr>
        <w:t xml:space="preserve"> are not used for this purpose in relation to those periods</w:t>
      </w:r>
      <w:r>
        <w:rPr>
          <w:rFonts w:ascii="Arial" w:eastAsia="Arial" w:hAnsi="Arial"/>
          <w:color w:val="000000"/>
          <w:sz w:val="20"/>
        </w:rPr>
        <w:t xml:space="preserve">, given the changes made to the funds’ investment policies that </w:t>
      </w:r>
      <w:r w:rsidR="006F4D4A">
        <w:rPr>
          <w:rFonts w:ascii="Arial" w:eastAsia="Arial" w:hAnsi="Arial"/>
          <w:color w:val="000000"/>
          <w:sz w:val="20"/>
        </w:rPr>
        <w:t xml:space="preserve">commenced on 1 August 2021, with an anticipated </w:t>
      </w:r>
      <w:proofErr w:type="gramStart"/>
      <w:r w:rsidR="006F4D4A">
        <w:rPr>
          <w:rFonts w:ascii="Arial" w:eastAsia="Arial" w:hAnsi="Arial"/>
          <w:color w:val="000000"/>
          <w:sz w:val="20"/>
        </w:rPr>
        <w:t>one month</w:t>
      </w:r>
      <w:proofErr w:type="gramEnd"/>
      <w:r w:rsidR="006F4D4A">
        <w:rPr>
          <w:rFonts w:ascii="Arial" w:eastAsia="Arial" w:hAnsi="Arial"/>
          <w:color w:val="000000"/>
          <w:sz w:val="20"/>
        </w:rPr>
        <w:t xml:space="preserve"> transition period before being fully implemented</w:t>
      </w:r>
      <w:r>
        <w:rPr>
          <w:rFonts w:ascii="Arial" w:eastAsia="Arial" w:hAnsi="Arial"/>
          <w:color w:val="000000"/>
          <w:sz w:val="20"/>
        </w:rPr>
        <w:t xml:space="preserve">. Actual returns from 1 </w:t>
      </w:r>
      <w:r w:rsidR="006F4D4A">
        <w:rPr>
          <w:rFonts w:ascii="Arial" w:eastAsia="Arial" w:hAnsi="Arial"/>
          <w:color w:val="000000"/>
          <w:sz w:val="20"/>
        </w:rPr>
        <w:t>September</w:t>
      </w:r>
      <w:r>
        <w:rPr>
          <w:rFonts w:ascii="Arial" w:eastAsia="Arial" w:hAnsi="Arial"/>
          <w:color w:val="000000"/>
          <w:sz w:val="20"/>
        </w:rPr>
        <w:t xml:space="preserve"> 2021 onwards will be incorporated into the risk indicator calculations </w:t>
      </w:r>
      <w:proofErr w:type="gramStart"/>
      <w:r>
        <w:rPr>
          <w:rFonts w:ascii="Arial" w:eastAsia="Arial" w:hAnsi="Arial"/>
          <w:color w:val="000000"/>
          <w:sz w:val="20"/>
        </w:rPr>
        <w:t>subsequent to</w:t>
      </w:r>
      <w:proofErr w:type="gramEnd"/>
      <w:r>
        <w:rPr>
          <w:rFonts w:ascii="Arial" w:eastAsia="Arial" w:hAnsi="Arial"/>
          <w:color w:val="000000"/>
          <w:sz w:val="20"/>
        </w:rPr>
        <w:t xml:space="preserve"> that date, in combination with market index returns for periods prior to 1 </w:t>
      </w:r>
      <w:r w:rsidR="006F4D4A">
        <w:rPr>
          <w:rFonts w:ascii="Arial" w:eastAsia="Arial" w:hAnsi="Arial"/>
          <w:color w:val="000000"/>
          <w:sz w:val="20"/>
        </w:rPr>
        <w:t>September</w:t>
      </w:r>
      <w:r>
        <w:rPr>
          <w:rFonts w:ascii="Arial" w:eastAsia="Arial" w:hAnsi="Arial"/>
          <w:color w:val="000000"/>
          <w:sz w:val="20"/>
        </w:rPr>
        <w:t xml:space="preserve"> 2021.</w:t>
      </w:r>
    </w:p>
    <w:p w14:paraId="3F9E5E3D" w14:textId="77777777" w:rsidR="00A0306C" w:rsidRDefault="00305462">
      <w:pPr>
        <w:spacing w:before="177" w:line="281" w:lineRule="exact"/>
        <w:ind w:right="216"/>
        <w:textAlignment w:val="baseline"/>
        <w:rPr>
          <w:rFonts w:ascii="Arial" w:eastAsia="Arial" w:hAnsi="Arial"/>
          <w:color w:val="000000"/>
          <w:sz w:val="20"/>
        </w:rPr>
      </w:pPr>
      <w:r>
        <w:rPr>
          <w:rFonts w:ascii="Arial" w:eastAsia="Arial" w:hAnsi="Arial"/>
          <w:color w:val="000000"/>
          <w:sz w:val="20"/>
        </w:rPr>
        <w:t>The benchmark indices for each of the funds are stated in the ‘Evaluation Criteria’ section of the Statement of Investment Policy and Objectives for the Scheme, which is available on the Scheme’s register entry.</w:t>
      </w:r>
    </w:p>
    <w:p w14:paraId="3F9E5E3E" w14:textId="77777777" w:rsidR="00A0306C" w:rsidRDefault="00305462">
      <w:pPr>
        <w:spacing w:before="226" w:line="230" w:lineRule="exact"/>
        <w:textAlignment w:val="baseline"/>
        <w:rPr>
          <w:rFonts w:ascii="Arial" w:eastAsia="Arial" w:hAnsi="Arial"/>
          <w:color w:val="000000"/>
          <w:sz w:val="20"/>
        </w:rPr>
      </w:pPr>
      <w:r>
        <w:rPr>
          <w:rFonts w:ascii="Arial" w:eastAsia="Arial" w:hAnsi="Arial"/>
          <w:color w:val="000000"/>
          <w:sz w:val="20"/>
        </w:rPr>
        <w:t>More information about the various market indices can be found at the following webpages:</w:t>
      </w:r>
    </w:p>
    <w:p w14:paraId="3F9E5E3F" w14:textId="61A6D0B5" w:rsidR="00A0306C" w:rsidRDefault="00305462">
      <w:pPr>
        <w:numPr>
          <w:ilvl w:val="0"/>
          <w:numId w:val="1"/>
        </w:numPr>
        <w:tabs>
          <w:tab w:val="clear" w:pos="360"/>
          <w:tab w:val="left" w:pos="720"/>
        </w:tabs>
        <w:spacing w:before="190" w:line="271" w:lineRule="exact"/>
        <w:ind w:left="720" w:hanging="360"/>
        <w:textAlignment w:val="baseline"/>
        <w:rPr>
          <w:rFonts w:ascii="Arial" w:eastAsia="Arial" w:hAnsi="Arial"/>
          <w:color w:val="000000"/>
          <w:sz w:val="20"/>
        </w:rPr>
      </w:pPr>
      <w:bookmarkStart w:id="0" w:name="_Hlk73448550"/>
      <w:r>
        <w:rPr>
          <w:rFonts w:ascii="Arial" w:eastAsia="Arial" w:hAnsi="Arial"/>
          <w:color w:val="000000"/>
          <w:sz w:val="20"/>
        </w:rPr>
        <w:t xml:space="preserve">S&amp;P / NZX 50 </w:t>
      </w:r>
      <w:r w:rsidR="00085BFF">
        <w:rPr>
          <w:rFonts w:ascii="Arial" w:eastAsia="Arial" w:hAnsi="Arial"/>
          <w:color w:val="000000"/>
          <w:sz w:val="20"/>
        </w:rPr>
        <w:t xml:space="preserve">Portfolio </w:t>
      </w:r>
      <w:r>
        <w:rPr>
          <w:rFonts w:ascii="Arial" w:eastAsia="Arial" w:hAnsi="Arial"/>
          <w:color w:val="000000"/>
          <w:sz w:val="20"/>
        </w:rPr>
        <w:t>Index</w:t>
      </w:r>
      <w:r w:rsidR="00085BFF">
        <w:rPr>
          <w:rFonts w:ascii="Arial" w:eastAsia="Arial" w:hAnsi="Arial"/>
          <w:color w:val="000000"/>
          <w:sz w:val="20"/>
        </w:rPr>
        <w:t xml:space="preserve"> (including imputation credits)</w:t>
      </w:r>
      <w:r>
        <w:rPr>
          <w:rFonts w:ascii="Arial" w:eastAsia="Arial" w:hAnsi="Arial"/>
          <w:color w:val="000000"/>
          <w:sz w:val="20"/>
        </w:rPr>
        <w:t xml:space="preserve"> -</w:t>
      </w:r>
      <w:hyperlink r:id="rId5">
        <w:r>
          <w:rPr>
            <w:rFonts w:ascii="Arial" w:eastAsia="Arial" w:hAnsi="Arial"/>
            <w:color w:val="0000FF"/>
            <w:sz w:val="20"/>
            <w:u w:val="single"/>
          </w:rPr>
          <w:t xml:space="preserve"> </w:t>
        </w:r>
        <w:r w:rsidR="0094687D" w:rsidRPr="0094687D">
          <w:rPr>
            <w:rFonts w:ascii="Arial" w:eastAsia="Arial" w:hAnsi="Arial"/>
            <w:color w:val="0000FF"/>
            <w:sz w:val="20"/>
            <w:u w:val="single"/>
          </w:rPr>
          <w:t>https://www.spglobal.com/spdji/en/indices/equity/sp-nzx-50-portfolio-index/#overview</w:t>
        </w:r>
      </w:hyperlink>
      <w:bookmarkEnd w:id="0"/>
      <w:r>
        <w:rPr>
          <w:rFonts w:ascii="Arial" w:eastAsia="Arial" w:hAnsi="Arial"/>
          <w:color w:val="000000"/>
          <w:sz w:val="20"/>
        </w:rPr>
        <w:t xml:space="preserve"> </w:t>
      </w:r>
    </w:p>
    <w:p w14:paraId="3F9E5E40" w14:textId="1E4FC9FB" w:rsidR="00A0306C" w:rsidRDefault="00305462">
      <w:pPr>
        <w:numPr>
          <w:ilvl w:val="0"/>
          <w:numId w:val="1"/>
        </w:numPr>
        <w:tabs>
          <w:tab w:val="clear" w:pos="360"/>
          <w:tab w:val="left" w:pos="720"/>
        </w:tabs>
        <w:spacing w:before="189" w:line="271" w:lineRule="exact"/>
        <w:ind w:left="720" w:hanging="360"/>
        <w:textAlignment w:val="baseline"/>
        <w:rPr>
          <w:rFonts w:ascii="Arial" w:eastAsia="Arial" w:hAnsi="Arial"/>
          <w:color w:val="000000"/>
          <w:sz w:val="20"/>
        </w:rPr>
      </w:pPr>
      <w:r>
        <w:rPr>
          <w:rFonts w:ascii="Arial" w:eastAsia="Arial" w:hAnsi="Arial"/>
          <w:color w:val="000000"/>
          <w:sz w:val="20"/>
        </w:rPr>
        <w:t>MSCI World Index -</w:t>
      </w:r>
      <w:hyperlink r:id="rId6">
        <w:r>
          <w:rPr>
            <w:rFonts w:ascii="Arial" w:eastAsia="Arial" w:hAnsi="Arial"/>
            <w:color w:val="0000FF"/>
            <w:sz w:val="20"/>
            <w:u w:val="single"/>
          </w:rPr>
          <w:t xml:space="preserve"> https://www.msci.com/world</w:t>
        </w:r>
      </w:hyperlink>
      <w:r>
        <w:rPr>
          <w:rFonts w:ascii="Arial" w:eastAsia="Arial" w:hAnsi="Arial"/>
          <w:color w:val="000000"/>
          <w:sz w:val="20"/>
        </w:rPr>
        <w:t xml:space="preserve"> </w:t>
      </w:r>
    </w:p>
    <w:p w14:paraId="3F9E5E42" w14:textId="77777777" w:rsidR="00A0306C" w:rsidRDefault="00305462">
      <w:pPr>
        <w:numPr>
          <w:ilvl w:val="0"/>
          <w:numId w:val="1"/>
        </w:numPr>
        <w:tabs>
          <w:tab w:val="clear" w:pos="360"/>
          <w:tab w:val="left" w:pos="720"/>
        </w:tabs>
        <w:spacing w:before="211" w:line="250" w:lineRule="exact"/>
        <w:ind w:left="720" w:hanging="360"/>
        <w:textAlignment w:val="baseline"/>
        <w:rPr>
          <w:rFonts w:ascii="Arial" w:eastAsia="Arial" w:hAnsi="Arial"/>
          <w:color w:val="000000"/>
          <w:sz w:val="20"/>
        </w:rPr>
      </w:pPr>
      <w:r>
        <w:rPr>
          <w:rFonts w:ascii="Arial" w:eastAsia="Arial" w:hAnsi="Arial"/>
          <w:color w:val="000000"/>
          <w:sz w:val="20"/>
        </w:rPr>
        <w:t>Bloomberg Barclays Global Aggregate Bond Index –</w:t>
      </w:r>
    </w:p>
    <w:p w14:paraId="3F9E5E43" w14:textId="77777777" w:rsidR="00A0306C" w:rsidRDefault="008921E5">
      <w:pPr>
        <w:spacing w:line="276" w:lineRule="exact"/>
        <w:ind w:left="720" w:right="2088"/>
        <w:textAlignment w:val="baseline"/>
        <w:rPr>
          <w:rFonts w:ascii="Arial" w:eastAsia="Arial" w:hAnsi="Arial"/>
          <w:color w:val="0000FF"/>
          <w:sz w:val="20"/>
          <w:u w:val="single"/>
        </w:rPr>
      </w:pPr>
      <w:hyperlink r:id="rId7">
        <w:r w:rsidR="00305462">
          <w:rPr>
            <w:rFonts w:ascii="Arial" w:eastAsia="Arial" w:hAnsi="Arial"/>
            <w:color w:val="0000FF"/>
            <w:sz w:val="20"/>
            <w:u w:val="single"/>
          </w:rPr>
          <w:t>https://www.bloomberg.com/markets/rates-bonds/bloomberg-barclays-indices</w:t>
        </w:r>
      </w:hyperlink>
      <w:r w:rsidR="00305462">
        <w:rPr>
          <w:rFonts w:ascii="Arial" w:eastAsia="Arial" w:hAnsi="Arial"/>
          <w:color w:val="000000"/>
          <w:sz w:val="20"/>
        </w:rPr>
        <w:t xml:space="preserve"> </w:t>
      </w:r>
    </w:p>
    <w:p w14:paraId="3F9E5E44" w14:textId="00D65BC3" w:rsidR="00A0306C" w:rsidRDefault="00305462">
      <w:pPr>
        <w:numPr>
          <w:ilvl w:val="0"/>
          <w:numId w:val="1"/>
        </w:numPr>
        <w:tabs>
          <w:tab w:val="clear" w:pos="360"/>
          <w:tab w:val="left" w:pos="720"/>
        </w:tabs>
        <w:spacing w:before="177" w:line="279" w:lineRule="exact"/>
        <w:ind w:left="720" w:right="1800" w:hanging="360"/>
        <w:textAlignment w:val="baseline"/>
        <w:rPr>
          <w:rFonts w:ascii="Arial" w:eastAsia="Arial" w:hAnsi="Arial"/>
          <w:color w:val="000000"/>
          <w:sz w:val="20"/>
        </w:rPr>
      </w:pPr>
      <w:bookmarkStart w:id="1" w:name="_Hlk73448574"/>
      <w:r>
        <w:rPr>
          <w:rFonts w:ascii="Arial" w:eastAsia="Arial" w:hAnsi="Arial"/>
          <w:color w:val="000000"/>
          <w:sz w:val="20"/>
        </w:rPr>
        <w:t xml:space="preserve">S&amp;P/NZX All Real Estate </w:t>
      </w:r>
      <w:r w:rsidR="00085BFF">
        <w:rPr>
          <w:rFonts w:ascii="Arial" w:eastAsia="Arial" w:hAnsi="Arial"/>
          <w:color w:val="000000"/>
          <w:sz w:val="20"/>
        </w:rPr>
        <w:t xml:space="preserve">Index </w:t>
      </w:r>
      <w:r>
        <w:rPr>
          <w:rFonts w:ascii="Arial" w:eastAsia="Arial" w:hAnsi="Arial"/>
          <w:color w:val="000000"/>
          <w:sz w:val="20"/>
        </w:rPr>
        <w:t>(</w:t>
      </w:r>
      <w:r w:rsidR="00085BFF">
        <w:rPr>
          <w:rFonts w:ascii="Arial" w:eastAsia="Arial" w:hAnsi="Arial"/>
          <w:color w:val="000000"/>
          <w:sz w:val="20"/>
        </w:rPr>
        <w:t>including i</w:t>
      </w:r>
      <w:r>
        <w:rPr>
          <w:rFonts w:ascii="Arial" w:eastAsia="Arial" w:hAnsi="Arial"/>
          <w:color w:val="000000"/>
          <w:sz w:val="20"/>
        </w:rPr>
        <w:t xml:space="preserve">mputation </w:t>
      </w:r>
      <w:r w:rsidR="00085BFF">
        <w:rPr>
          <w:rFonts w:ascii="Arial" w:eastAsia="Arial" w:hAnsi="Arial"/>
          <w:color w:val="000000"/>
          <w:sz w:val="20"/>
        </w:rPr>
        <w:t xml:space="preserve">credits) </w:t>
      </w:r>
      <w:r>
        <w:rPr>
          <w:rFonts w:ascii="Arial" w:eastAsia="Arial" w:hAnsi="Arial"/>
          <w:color w:val="000000"/>
          <w:sz w:val="20"/>
        </w:rPr>
        <w:t xml:space="preserve">- </w:t>
      </w:r>
      <w:hyperlink r:id="rId8" w:anchor="overview" w:history="1">
        <w:r w:rsidR="0094687D" w:rsidRPr="00102F95">
          <w:rPr>
            <w:rStyle w:val="Hyperlink"/>
            <w:rFonts w:ascii="Arial" w:hAnsi="Arial" w:cs="Arial"/>
            <w:sz w:val="20"/>
            <w:szCs w:val="20"/>
          </w:rPr>
          <w:t>https://www.spglobal.com/spdji/en/indices/equity/sp-nzx-all-real-estate-sector/#overview</w:t>
        </w:r>
      </w:hyperlink>
      <w:r w:rsidR="0094687D">
        <w:t xml:space="preserve"> </w:t>
      </w:r>
    </w:p>
    <w:p w14:paraId="303C8E25" w14:textId="689093B7" w:rsidR="0094687D" w:rsidRDefault="007E45B9">
      <w:pPr>
        <w:numPr>
          <w:ilvl w:val="0"/>
          <w:numId w:val="1"/>
        </w:numPr>
        <w:tabs>
          <w:tab w:val="clear" w:pos="360"/>
          <w:tab w:val="left" w:pos="720"/>
        </w:tabs>
        <w:spacing w:before="192" w:line="271" w:lineRule="exact"/>
        <w:ind w:left="720" w:right="216" w:hanging="360"/>
        <w:textAlignment w:val="baseline"/>
        <w:rPr>
          <w:rFonts w:ascii="Arial" w:eastAsia="Arial" w:hAnsi="Arial"/>
          <w:color w:val="000000"/>
          <w:sz w:val="20"/>
        </w:rPr>
      </w:pPr>
      <w:bookmarkStart w:id="2" w:name="_Hlk73448588"/>
      <w:bookmarkEnd w:id="1"/>
      <w:r w:rsidRPr="007E45B9">
        <w:rPr>
          <w:rFonts w:ascii="Arial" w:eastAsia="Arial" w:hAnsi="Arial"/>
          <w:color w:val="000000"/>
          <w:sz w:val="20"/>
        </w:rPr>
        <w:t xml:space="preserve">Bloomberg </w:t>
      </w:r>
      <w:proofErr w:type="spellStart"/>
      <w:r w:rsidRPr="007E45B9">
        <w:rPr>
          <w:rFonts w:ascii="Arial" w:eastAsia="Arial" w:hAnsi="Arial"/>
          <w:color w:val="000000"/>
          <w:sz w:val="20"/>
        </w:rPr>
        <w:t>NZBond</w:t>
      </w:r>
      <w:proofErr w:type="spellEnd"/>
      <w:r w:rsidRPr="007E45B9">
        <w:rPr>
          <w:rFonts w:ascii="Arial" w:eastAsia="Arial" w:hAnsi="Arial"/>
          <w:color w:val="000000"/>
          <w:sz w:val="20"/>
        </w:rPr>
        <w:t xml:space="preserve"> Composite 0+ </w:t>
      </w:r>
      <w:proofErr w:type="spellStart"/>
      <w:r w:rsidRPr="007E45B9">
        <w:rPr>
          <w:rFonts w:ascii="Arial" w:eastAsia="Arial" w:hAnsi="Arial"/>
          <w:color w:val="000000"/>
          <w:sz w:val="20"/>
        </w:rPr>
        <w:t>Yr</w:t>
      </w:r>
      <w:proofErr w:type="spellEnd"/>
      <w:r w:rsidRPr="007E45B9">
        <w:rPr>
          <w:rFonts w:ascii="Arial" w:eastAsia="Arial" w:hAnsi="Arial"/>
          <w:color w:val="000000"/>
          <w:sz w:val="20"/>
        </w:rPr>
        <w:t xml:space="preserve"> Index</w:t>
      </w:r>
      <w:r w:rsidR="0094687D">
        <w:rPr>
          <w:rFonts w:ascii="Arial" w:eastAsia="Arial" w:hAnsi="Arial"/>
          <w:color w:val="000000"/>
          <w:sz w:val="20"/>
        </w:rPr>
        <w:t xml:space="preserve"> </w:t>
      </w:r>
      <w:hyperlink r:id="rId9" w:history="1">
        <w:r w:rsidRPr="007E45B9">
          <w:rPr>
            <w:rStyle w:val="Hyperlink"/>
            <w:rFonts w:ascii="Arial" w:eastAsia="Arial" w:hAnsi="Arial"/>
            <w:sz w:val="20"/>
          </w:rPr>
          <w:t>https://www.bloomberg.com/quote/BNZCM0:IND</w:t>
        </w:r>
      </w:hyperlink>
      <w:bookmarkEnd w:id="2"/>
    </w:p>
    <w:p w14:paraId="3F9E5E48" w14:textId="3A42D802" w:rsidR="00A0306C" w:rsidRDefault="00305462" w:rsidP="008921E5">
      <w:pPr>
        <w:numPr>
          <w:ilvl w:val="0"/>
          <w:numId w:val="1"/>
        </w:numPr>
        <w:tabs>
          <w:tab w:val="clear" w:pos="360"/>
          <w:tab w:val="left" w:pos="720"/>
        </w:tabs>
        <w:spacing w:before="192" w:after="120" w:line="271" w:lineRule="exact"/>
        <w:ind w:left="720" w:right="288" w:hanging="360"/>
        <w:textAlignment w:val="baseline"/>
        <w:sectPr w:rsidR="00A0306C" w:rsidSect="002F293F">
          <w:pgSz w:w="11914" w:h="16853"/>
          <w:pgMar w:top="1418" w:right="1440" w:bottom="136" w:left="1435" w:header="720" w:footer="720" w:gutter="0"/>
          <w:cols w:space="720"/>
        </w:sectPr>
      </w:pPr>
      <w:r w:rsidRPr="007E45B9">
        <w:rPr>
          <w:rFonts w:ascii="Arial" w:eastAsia="Arial" w:hAnsi="Arial"/>
          <w:color w:val="000000"/>
          <w:sz w:val="20"/>
        </w:rPr>
        <w:t>S&amp;P / NZX Bank Bills 90 Day Index –</w:t>
      </w:r>
      <w:r w:rsidR="0094687D" w:rsidRPr="0094687D">
        <w:t xml:space="preserve"> </w:t>
      </w:r>
      <w:bookmarkStart w:id="3" w:name="_Hlk73448607"/>
      <w:r w:rsidR="00726F51" w:rsidRPr="007E45B9">
        <w:rPr>
          <w:rFonts w:ascii="Arial" w:eastAsia="Arial" w:hAnsi="Arial"/>
          <w:color w:val="000000"/>
          <w:sz w:val="20"/>
        </w:rPr>
        <w:fldChar w:fldCharType="begin"/>
      </w:r>
      <w:r w:rsidR="00726F51" w:rsidRPr="007E45B9">
        <w:rPr>
          <w:rFonts w:ascii="Arial" w:eastAsia="Arial" w:hAnsi="Arial"/>
          <w:color w:val="000000"/>
          <w:sz w:val="20"/>
        </w:rPr>
        <w:instrText xml:space="preserve"> HYPERLINK "</w:instrText>
      </w:r>
      <w:r w:rsidR="00726F51" w:rsidRPr="007E45B9">
        <w:rPr>
          <w:color w:val="000000"/>
        </w:rPr>
        <w:instrText>https://www.spglobal.com/spdji/en/indices/fixed-income/sp-nzx-bank-bills-90-day-index/#overview</w:instrText>
      </w:r>
      <w:r w:rsidR="00726F51" w:rsidRPr="007E45B9">
        <w:rPr>
          <w:rFonts w:ascii="Arial" w:eastAsia="Arial" w:hAnsi="Arial"/>
          <w:color w:val="000000"/>
          <w:sz w:val="20"/>
        </w:rPr>
        <w:instrText xml:space="preserve">" </w:instrText>
      </w:r>
      <w:r w:rsidR="00726F51" w:rsidRPr="007E45B9">
        <w:rPr>
          <w:rFonts w:ascii="Arial" w:eastAsia="Arial" w:hAnsi="Arial"/>
          <w:color w:val="000000"/>
          <w:sz w:val="20"/>
        </w:rPr>
      </w:r>
      <w:r w:rsidR="00726F51" w:rsidRPr="007E45B9">
        <w:rPr>
          <w:rFonts w:ascii="Arial" w:eastAsia="Arial" w:hAnsi="Arial"/>
          <w:color w:val="000000"/>
          <w:sz w:val="20"/>
        </w:rPr>
        <w:fldChar w:fldCharType="separate"/>
      </w:r>
      <w:r w:rsidR="00726F51" w:rsidRPr="007E45B9">
        <w:rPr>
          <w:rStyle w:val="Hyperlink"/>
          <w:rFonts w:ascii="Arial" w:eastAsia="Arial" w:hAnsi="Arial"/>
          <w:sz w:val="20"/>
        </w:rPr>
        <w:t>https://www.spglobal.com/spdji/en/indices/fixed-income/sp-nzx-bank-bills-90-day-index/#overview</w:t>
      </w:r>
      <w:r w:rsidR="00726F51" w:rsidRPr="007E45B9">
        <w:rPr>
          <w:rFonts w:ascii="Arial" w:eastAsia="Arial" w:hAnsi="Arial"/>
          <w:color w:val="000000"/>
          <w:sz w:val="20"/>
        </w:rPr>
        <w:fldChar w:fldCharType="end"/>
      </w:r>
      <w:bookmarkEnd w:id="3"/>
    </w:p>
    <w:p w14:paraId="3F9E5E49" w14:textId="0B31B2BF" w:rsidR="00A0306C" w:rsidRDefault="00A0306C" w:rsidP="002F293F">
      <w:pPr>
        <w:spacing w:before="1" w:line="137" w:lineRule="exact"/>
        <w:textAlignment w:val="baseline"/>
        <w:rPr>
          <w:rFonts w:ascii="Arial" w:eastAsia="Arial" w:hAnsi="Arial"/>
          <w:color w:val="000000"/>
          <w:spacing w:val="4"/>
          <w:sz w:val="12"/>
        </w:rPr>
      </w:pPr>
    </w:p>
    <w:sectPr w:rsidR="00A0306C">
      <w:type w:val="continuous"/>
      <w:pgSz w:w="11914" w:h="16853"/>
      <w:pgMar w:top="1420" w:right="9853" w:bottom="136" w:left="13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900E5A"/>
    <w:multiLevelType w:val="multilevel"/>
    <w:tmpl w:val="7E36857E"/>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58148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06C"/>
    <w:rsid w:val="000125B0"/>
    <w:rsid w:val="00075D5F"/>
    <w:rsid w:val="00085BFF"/>
    <w:rsid w:val="00102F95"/>
    <w:rsid w:val="001E5952"/>
    <w:rsid w:val="002F293F"/>
    <w:rsid w:val="00305462"/>
    <w:rsid w:val="003E1326"/>
    <w:rsid w:val="003E4608"/>
    <w:rsid w:val="006368F5"/>
    <w:rsid w:val="006F4D4A"/>
    <w:rsid w:val="00726F51"/>
    <w:rsid w:val="007E45B9"/>
    <w:rsid w:val="008921E5"/>
    <w:rsid w:val="0094687D"/>
    <w:rsid w:val="00A0306C"/>
    <w:rsid w:val="00A10AA3"/>
    <w:rsid w:val="00A46EFA"/>
    <w:rsid w:val="00A82625"/>
    <w:rsid w:val="00B12447"/>
    <w:rsid w:val="00C95E36"/>
    <w:rsid w:val="00FC3F18"/>
    <w:rsid w:val="00FE776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E5E36"/>
  <w15:docId w15:val="{8BCE1D98-7E1B-407E-B355-FD65D308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4687D"/>
    <w:rPr>
      <w:color w:val="0563C1" w:themeColor="hyperlink"/>
      <w:u w:val="single"/>
    </w:rPr>
  </w:style>
  <w:style w:type="character" w:styleId="UnresolvedMention">
    <w:name w:val="Unresolved Mention"/>
    <w:basedOn w:val="DefaultParagraphFont"/>
    <w:uiPriority w:val="99"/>
    <w:semiHidden/>
    <w:unhideWhenUsed/>
    <w:rsid w:val="0094687D"/>
    <w:rPr>
      <w:color w:val="605E5C"/>
      <w:shd w:val="clear" w:color="auto" w:fill="E1DFDD"/>
    </w:rPr>
  </w:style>
  <w:style w:type="paragraph" w:styleId="Revision">
    <w:name w:val="Revision"/>
    <w:hidden/>
    <w:uiPriority w:val="99"/>
    <w:semiHidden/>
    <w:rsid w:val="007E45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pglobal.com/spdji/en/indices/equity/sp-nzx-all-real-estate-sector/" TargetMode="External"/><Relationship Id="rId3" Type="http://schemas.openxmlformats.org/officeDocument/2006/relationships/settings" Target="settings.xml"/><Relationship Id="rId7" Type="http://schemas.openxmlformats.org/officeDocument/2006/relationships/hyperlink" Target="https://www.bloomberg.com/markets/rates-bonds/bloomberg-barclays-indices" TargetMode="Externa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ci.com/world" TargetMode="External"/><Relationship Id="rId11" Type="http://schemas.openxmlformats.org/officeDocument/2006/relationships/theme" Target="theme/theme1.xml"/><Relationship Id="rId5" Type="http://schemas.openxmlformats.org/officeDocument/2006/relationships/hyperlink" Target="https://www.nzx.com/markets/nzsx/indices/NZ5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loomberg.com/quote/BNZCM0:I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Trollip</dc:creator>
  <cp:lastModifiedBy>Glenn Watkin</cp:lastModifiedBy>
  <cp:revision>4</cp:revision>
  <dcterms:created xsi:type="dcterms:W3CDTF">2024-06-19T21:39:00Z</dcterms:created>
  <dcterms:modified xsi:type="dcterms:W3CDTF">2024-06-30T20:12:00Z</dcterms:modified>
</cp:coreProperties>
</file>