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1EAD" w14:textId="53AEE9B2" w:rsidR="00A2760C" w:rsidRPr="00BF05B4" w:rsidRDefault="000D33EF" w:rsidP="00BF05B4">
      <w:pPr>
        <w:rPr>
          <w:sz w:val="18"/>
          <w:szCs w:val="20"/>
        </w:rPr>
      </w:pPr>
      <w:r>
        <w:rPr>
          <w:noProof/>
          <w:color w:val="006652" w:themeColor="accent1"/>
          <w:sz w:val="52"/>
          <w:szCs w:val="52"/>
        </w:rPr>
        <mc:AlternateContent>
          <mc:Choice Requires="wps">
            <w:drawing>
              <wp:anchor distT="0" distB="0" distL="114300" distR="114300" simplePos="0" relativeHeight="251658242" behindDoc="0" locked="0" layoutInCell="1" allowOverlap="1" wp14:anchorId="4EBB1BEE" wp14:editId="234E4621">
                <wp:simplePos x="0" y="0"/>
                <wp:positionH relativeFrom="margin">
                  <wp:align>left</wp:align>
                </wp:positionH>
                <wp:positionV relativeFrom="margin">
                  <wp:align>top</wp:align>
                </wp:positionV>
                <wp:extent cx="6375400" cy="803910"/>
                <wp:effectExtent l="0" t="0" r="6350" b="0"/>
                <wp:wrapTopAndBottom/>
                <wp:docPr id="30" name="Rectangle 30"/>
                <wp:cNvGraphicFramePr/>
                <a:graphic xmlns:a="http://schemas.openxmlformats.org/drawingml/2006/main">
                  <a:graphicData uri="http://schemas.microsoft.com/office/word/2010/wordprocessingShape">
                    <wps:wsp>
                      <wps:cNvSpPr/>
                      <wps:spPr>
                        <a:xfrm>
                          <a:off x="0" y="0"/>
                          <a:ext cx="6375400" cy="80433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D4E78" w14:textId="7E5C8E0E" w:rsidR="00A2760C" w:rsidRPr="000F08C3" w:rsidRDefault="00CA74FE" w:rsidP="00325617">
                            <w:pPr>
                              <w:spacing w:after="0"/>
                              <w:rPr>
                                <w:rFonts w:ascii="Financier Display" w:hAnsi="Financier Display" w:cs="Segoe UI Semibold"/>
                                <w:color w:val="FFFFFF" w:themeColor="background1"/>
                                <w:sz w:val="40"/>
                                <w:szCs w:val="40"/>
                              </w:rPr>
                            </w:pPr>
                            <w:r w:rsidRPr="009C4334">
                              <w:rPr>
                                <w:rFonts w:ascii="Financier Display" w:hAnsi="Financier Display" w:cs="Segoe UI Semibold"/>
                                <w:color w:val="FFFFFF" w:themeColor="background1"/>
                                <w:sz w:val="52"/>
                                <w:szCs w:val="52"/>
                              </w:rPr>
                              <w:t xml:space="preserve">Fund Update </w:t>
                            </w:r>
                            <w:r w:rsidRPr="00517834">
                              <w:rPr>
                                <w:rFonts w:asciiTheme="minorHAnsi" w:hAnsiTheme="minorHAnsi" w:cstheme="minorHAnsi"/>
                                <w:color w:val="FFFFFF" w:themeColor="background1"/>
                                <w:sz w:val="24"/>
                                <w:szCs w:val="24"/>
                              </w:rPr>
                              <w:t xml:space="preserve">for the quarter </w:t>
                            </w:r>
                            <w:r w:rsidRPr="000F08C3">
                              <w:rPr>
                                <w:rFonts w:asciiTheme="minorHAnsi" w:hAnsiTheme="minorHAnsi" w:cstheme="minorHAnsi"/>
                                <w:color w:val="FFFFFF" w:themeColor="background1"/>
                                <w:sz w:val="24"/>
                                <w:szCs w:val="24"/>
                              </w:rPr>
                              <w:t xml:space="preserve">ended </w:t>
                            </w:r>
                            <w:r w:rsidR="00C519E7">
                              <w:rPr>
                                <w:rFonts w:asciiTheme="minorHAnsi" w:hAnsiTheme="minorHAnsi" w:cstheme="minorHAnsi"/>
                                <w:color w:val="FFFFFF" w:themeColor="background1"/>
                                <w:sz w:val="24"/>
                                <w:szCs w:val="24"/>
                              </w:rPr>
                              <w:t>3</w:t>
                            </w:r>
                            <w:r w:rsidR="00A22B2E">
                              <w:rPr>
                                <w:rFonts w:asciiTheme="minorHAnsi" w:hAnsiTheme="minorHAnsi" w:cstheme="minorHAnsi"/>
                                <w:color w:val="FFFFFF" w:themeColor="background1"/>
                                <w:sz w:val="24"/>
                                <w:szCs w:val="24"/>
                              </w:rPr>
                              <w:t>0</w:t>
                            </w:r>
                            <w:r w:rsidR="00BB0425">
                              <w:rPr>
                                <w:rFonts w:asciiTheme="minorHAnsi" w:hAnsiTheme="minorHAnsi" w:cstheme="minorHAnsi"/>
                                <w:color w:val="FFFFFF" w:themeColor="background1"/>
                                <w:sz w:val="24"/>
                                <w:szCs w:val="24"/>
                              </w:rPr>
                              <w:t xml:space="preserve"> </w:t>
                            </w:r>
                            <w:r w:rsidR="00FA1EEC">
                              <w:rPr>
                                <w:rFonts w:asciiTheme="minorHAnsi" w:hAnsiTheme="minorHAnsi" w:cstheme="minorHAnsi"/>
                                <w:color w:val="FFFFFF" w:themeColor="background1"/>
                                <w:sz w:val="24"/>
                                <w:szCs w:val="24"/>
                              </w:rPr>
                              <w:t>June</w:t>
                            </w:r>
                            <w:r w:rsidR="000A30EA">
                              <w:rPr>
                                <w:rFonts w:asciiTheme="minorHAnsi" w:hAnsiTheme="minorHAnsi" w:cstheme="minorHAnsi"/>
                                <w:color w:val="FFFFFF" w:themeColor="background1"/>
                                <w:sz w:val="24"/>
                                <w:szCs w:val="24"/>
                              </w:rPr>
                              <w:t xml:space="preserve"> </w:t>
                            </w:r>
                            <w:r w:rsidR="00234A8D" w:rsidRPr="000F08C3">
                              <w:rPr>
                                <w:rFonts w:asciiTheme="minorHAnsi" w:hAnsiTheme="minorHAnsi" w:cstheme="minorHAnsi"/>
                                <w:color w:val="FFFFFF" w:themeColor="background1"/>
                                <w:sz w:val="24"/>
                                <w:szCs w:val="24"/>
                              </w:rPr>
                              <w:t>202</w:t>
                            </w:r>
                            <w:r w:rsidR="005B796A">
                              <w:rPr>
                                <w:rFonts w:asciiTheme="minorHAnsi" w:hAnsiTheme="minorHAnsi" w:cstheme="minorHAnsi"/>
                                <w:color w:val="FFFFFF" w:themeColor="background1"/>
                                <w:sz w:val="24"/>
                                <w:szCs w:val="24"/>
                              </w:rPr>
                              <w:t>5</w:t>
                            </w:r>
                          </w:p>
                          <w:p w14:paraId="53501EC7" w14:textId="0FB19448" w:rsidR="00901197" w:rsidRPr="00901197" w:rsidRDefault="00901197" w:rsidP="00901197">
                            <w:pPr>
                              <w:pStyle w:val="TableBodyCopy"/>
                            </w:pPr>
                            <w:r w:rsidRPr="000F08C3">
                              <w:t xml:space="preserve">This fund update was first made publicly available </w:t>
                            </w:r>
                            <w:r w:rsidRPr="00814F11">
                              <w:t xml:space="preserve">on </w:t>
                            </w:r>
                            <w:r w:rsidR="00A57D47">
                              <w:t>28</w:t>
                            </w:r>
                            <w:r w:rsidR="00C519E7" w:rsidRPr="000D2BF6">
                              <w:t xml:space="preserve"> </w:t>
                            </w:r>
                            <w:r w:rsidR="00A57D47">
                              <w:t>July</w:t>
                            </w:r>
                            <w:r w:rsidR="00C519E7" w:rsidRPr="000D2BF6">
                              <w:t xml:space="preserve"> </w:t>
                            </w:r>
                            <w:r w:rsidRPr="00814F11">
                              <w:t>202</w:t>
                            </w:r>
                            <w:r w:rsidR="00B759D1">
                              <w:t>5</w:t>
                            </w:r>
                          </w:p>
                        </w:txbxContent>
                      </wps:txbx>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1BEE" id="Rectangle 30" o:spid="_x0000_s1026" style="position:absolute;margin-left:0;margin-top:0;width:502pt;height:63.3pt;z-index:25165824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" fillcolor="#006652 [3204]" stroked="f" strokeweight="1pt">
                <v:textbox inset="5mm">
                  <w:txbxContent>
                    <w:p w14:paraId="340D4E78" w14:textId="7E5C8E0E" w:rsidR="00A2760C" w:rsidRPr="000F08C3" w:rsidRDefault="00CA74FE" w:rsidP="00325617">
                      <w:pPr>
                        <w:spacing w:after="0"/>
                        <w:rPr>
                          <w:rFonts w:ascii="Financier Display" w:hAnsi="Financier Display" w:cs="Segoe UI Semibold"/>
                          <w:color w:val="FFFFFF" w:themeColor="background1"/>
                          <w:sz w:val="40"/>
                          <w:szCs w:val="40"/>
                        </w:rPr>
                      </w:pPr>
                      <w:r w:rsidRPr="009C4334">
                        <w:rPr>
                          <w:rFonts w:ascii="Financier Display" w:hAnsi="Financier Display" w:cs="Segoe UI Semibold"/>
                          <w:color w:val="FFFFFF" w:themeColor="background1"/>
                          <w:sz w:val="52"/>
                          <w:szCs w:val="52"/>
                        </w:rPr>
                        <w:t xml:space="preserve">Fund Update </w:t>
                      </w:r>
                      <w:r w:rsidRPr="00517834">
                        <w:rPr>
                          <w:rFonts w:asciiTheme="minorHAnsi" w:hAnsiTheme="minorHAnsi" w:cstheme="minorHAnsi"/>
                          <w:color w:val="FFFFFF" w:themeColor="background1"/>
                          <w:sz w:val="24"/>
                          <w:szCs w:val="24"/>
                        </w:rPr>
                        <w:t xml:space="preserve">for the quarter </w:t>
                      </w:r>
                      <w:r w:rsidRPr="000F08C3">
                        <w:rPr>
                          <w:rFonts w:asciiTheme="minorHAnsi" w:hAnsiTheme="minorHAnsi" w:cstheme="minorHAnsi"/>
                          <w:color w:val="FFFFFF" w:themeColor="background1"/>
                          <w:sz w:val="24"/>
                          <w:szCs w:val="24"/>
                        </w:rPr>
                        <w:t xml:space="preserve">ended </w:t>
                      </w:r>
                      <w:r w:rsidR="00C519E7">
                        <w:rPr>
                          <w:rFonts w:asciiTheme="minorHAnsi" w:hAnsiTheme="minorHAnsi" w:cstheme="minorHAnsi"/>
                          <w:color w:val="FFFFFF" w:themeColor="background1"/>
                          <w:sz w:val="24"/>
                          <w:szCs w:val="24"/>
                        </w:rPr>
                        <w:t>3</w:t>
                      </w:r>
                      <w:r w:rsidR="00A22B2E">
                        <w:rPr>
                          <w:rFonts w:asciiTheme="minorHAnsi" w:hAnsiTheme="minorHAnsi" w:cstheme="minorHAnsi"/>
                          <w:color w:val="FFFFFF" w:themeColor="background1"/>
                          <w:sz w:val="24"/>
                          <w:szCs w:val="24"/>
                        </w:rPr>
                        <w:t>0</w:t>
                      </w:r>
                      <w:r w:rsidR="00BB0425">
                        <w:rPr>
                          <w:rFonts w:asciiTheme="minorHAnsi" w:hAnsiTheme="minorHAnsi" w:cstheme="minorHAnsi"/>
                          <w:color w:val="FFFFFF" w:themeColor="background1"/>
                          <w:sz w:val="24"/>
                          <w:szCs w:val="24"/>
                        </w:rPr>
                        <w:t xml:space="preserve"> </w:t>
                      </w:r>
                      <w:r w:rsidR="00FA1EEC">
                        <w:rPr>
                          <w:rFonts w:asciiTheme="minorHAnsi" w:hAnsiTheme="minorHAnsi" w:cstheme="minorHAnsi"/>
                          <w:color w:val="FFFFFF" w:themeColor="background1"/>
                          <w:sz w:val="24"/>
                          <w:szCs w:val="24"/>
                        </w:rPr>
                        <w:t>June</w:t>
                      </w:r>
                      <w:r w:rsidR="000A30EA">
                        <w:rPr>
                          <w:rFonts w:asciiTheme="minorHAnsi" w:hAnsiTheme="minorHAnsi" w:cstheme="minorHAnsi"/>
                          <w:color w:val="FFFFFF" w:themeColor="background1"/>
                          <w:sz w:val="24"/>
                          <w:szCs w:val="24"/>
                        </w:rPr>
                        <w:t xml:space="preserve"> </w:t>
                      </w:r>
                      <w:r w:rsidR="00234A8D" w:rsidRPr="000F08C3">
                        <w:rPr>
                          <w:rFonts w:asciiTheme="minorHAnsi" w:hAnsiTheme="minorHAnsi" w:cstheme="minorHAnsi"/>
                          <w:color w:val="FFFFFF" w:themeColor="background1"/>
                          <w:sz w:val="24"/>
                          <w:szCs w:val="24"/>
                        </w:rPr>
                        <w:t>202</w:t>
                      </w:r>
                      <w:r w:rsidR="005B796A">
                        <w:rPr>
                          <w:rFonts w:asciiTheme="minorHAnsi" w:hAnsiTheme="minorHAnsi" w:cstheme="minorHAnsi"/>
                          <w:color w:val="FFFFFF" w:themeColor="background1"/>
                          <w:sz w:val="24"/>
                          <w:szCs w:val="24"/>
                        </w:rPr>
                        <w:t>5</w:t>
                      </w:r>
                    </w:p>
                    <w:p w14:paraId="53501EC7" w14:textId="0FB19448" w:rsidR="00901197" w:rsidRPr="00901197" w:rsidRDefault="00901197" w:rsidP="00901197">
                      <w:pPr>
                        <w:pStyle w:val="TableBodyCopy"/>
                      </w:pPr>
                      <w:r w:rsidRPr="000F08C3">
                        <w:t xml:space="preserve">This fund update was first made publicly available </w:t>
                      </w:r>
                      <w:r w:rsidRPr="00814F11">
                        <w:t xml:space="preserve">on </w:t>
                      </w:r>
                      <w:r w:rsidR="00A57D47">
                        <w:t>28</w:t>
                      </w:r>
                      <w:r w:rsidR="00C519E7" w:rsidRPr="000D2BF6">
                        <w:t xml:space="preserve"> </w:t>
                      </w:r>
                      <w:r w:rsidR="00A57D47">
                        <w:t>July</w:t>
                      </w:r>
                      <w:r w:rsidR="00C519E7" w:rsidRPr="000D2BF6">
                        <w:t xml:space="preserve"> </w:t>
                      </w:r>
                      <w:r w:rsidRPr="00814F11">
                        <w:t>202</w:t>
                      </w:r>
                      <w:r w:rsidR="00B759D1">
                        <w:t>5</w:t>
                      </w:r>
                    </w:p>
                  </w:txbxContent>
                </v:textbox>
                <w10:wrap type="topAndBottom" anchorx="margin" anchory="margin"/>
              </v:rect>
            </w:pict>
          </mc:Fallback>
        </mc:AlternateContent>
      </w:r>
    </w:p>
    <w:p w14:paraId="3E756ECE" w14:textId="4FAB258C" w:rsidR="00BD3611" w:rsidRPr="00E43238" w:rsidRDefault="00BD3611" w:rsidP="00A2760C">
      <w:pPr>
        <w:pStyle w:val="Heading3EV"/>
        <w:rPr>
          <w:sz w:val="22"/>
          <w:szCs w:val="22"/>
        </w:rPr>
      </w:pPr>
      <w:r w:rsidRPr="00E43238">
        <w:t>What is the purpose of this update</w:t>
      </w:r>
      <w:r w:rsidR="00421B62" w:rsidRPr="00E43238">
        <w:t>?</w:t>
      </w:r>
    </w:p>
    <w:p w14:paraId="19984473" w14:textId="3E058431" w:rsidR="00D40A30" w:rsidRDefault="007779C0" w:rsidP="008675ED">
      <w:pPr>
        <w:spacing w:after="0"/>
        <w:rPr>
          <w:rFonts w:cs="Segoe UI Light"/>
        </w:rPr>
      </w:pPr>
      <w:r>
        <w:rPr>
          <w:rFonts w:cs="Segoe UI Light"/>
        </w:rPr>
        <w:t xml:space="preserve">This document tells you how the </w:t>
      </w:r>
      <w:r w:rsidR="006E3709">
        <w:rPr>
          <w:rFonts w:cs="Segoe UI Light"/>
        </w:rPr>
        <w:t>Evidential</w:t>
      </w:r>
      <w:r w:rsidR="00032EC5">
        <w:rPr>
          <w:rFonts w:cs="Segoe UI Light"/>
        </w:rPr>
        <w:t xml:space="preserve"> </w:t>
      </w:r>
      <w:r w:rsidR="00B430AB">
        <w:rPr>
          <w:rFonts w:cs="Segoe UI Light"/>
        </w:rPr>
        <w:t xml:space="preserve">Sustainable </w:t>
      </w:r>
      <w:r w:rsidR="00032EC5">
        <w:rPr>
          <w:rFonts w:cs="Segoe UI Light"/>
        </w:rPr>
        <w:t xml:space="preserve">Global Bond Fund (‘Fund’) has performed </w:t>
      </w:r>
      <w:r w:rsidR="006B2510">
        <w:rPr>
          <w:rFonts w:cs="Segoe UI Light"/>
        </w:rPr>
        <w:t>and what fees were charged.</w:t>
      </w:r>
      <w:r w:rsidR="00704446">
        <w:rPr>
          <w:rFonts w:cs="Segoe UI Light"/>
        </w:rPr>
        <w:t xml:space="preserve"> The document will help you compare the </w:t>
      </w:r>
      <w:r w:rsidR="00006986">
        <w:rPr>
          <w:rFonts w:cs="Segoe UI Light"/>
        </w:rPr>
        <w:t>F</w:t>
      </w:r>
      <w:r w:rsidR="00704446">
        <w:rPr>
          <w:rFonts w:cs="Segoe UI Light"/>
        </w:rPr>
        <w:t xml:space="preserve">und with other funds. </w:t>
      </w:r>
      <w:r w:rsidR="00F94B43">
        <w:rPr>
          <w:rFonts w:cs="Segoe UI Light"/>
        </w:rPr>
        <w:t>Consilium NZ Limited</w:t>
      </w:r>
      <w:r w:rsidR="004C00DA">
        <w:rPr>
          <w:rFonts w:cs="Segoe UI Light"/>
        </w:rPr>
        <w:t xml:space="preserve"> </w:t>
      </w:r>
      <w:r w:rsidR="00DC5876">
        <w:rPr>
          <w:rFonts w:cs="Segoe UI Light"/>
        </w:rPr>
        <w:t xml:space="preserve">prepared this update in accordance with the Financial Markets Conduct Act 2013. This information is not audited and may be updated. </w:t>
      </w:r>
      <w:r w:rsidR="00822A3B">
        <w:rPr>
          <w:rFonts w:cs="Segoe UI Light"/>
        </w:rPr>
        <w:t xml:space="preserve"> </w:t>
      </w:r>
    </w:p>
    <w:p w14:paraId="7BB68EF7" w14:textId="3EB8E2F8" w:rsidR="00822A3B" w:rsidRDefault="00822A3B" w:rsidP="008675ED">
      <w:pPr>
        <w:spacing w:after="0"/>
        <w:rPr>
          <w:rFonts w:cs="Segoe UI Light"/>
        </w:rPr>
      </w:pPr>
    </w:p>
    <w:p w14:paraId="55E81BE9" w14:textId="23E4ECB2" w:rsidR="00731A90" w:rsidRPr="00615E6B" w:rsidRDefault="00731A90" w:rsidP="00572B85">
      <w:pPr>
        <w:pStyle w:val="Heading3EV"/>
      </w:pPr>
      <w:r w:rsidRPr="00615E6B">
        <w:t>Description of this fund</w:t>
      </w:r>
    </w:p>
    <w:p w14:paraId="6E93285F" w14:textId="3B1B084C" w:rsidR="005F63C2" w:rsidRDefault="005F63C2" w:rsidP="00856A6B">
      <w:pPr>
        <w:rPr>
          <w:rFonts w:cs="Segoe UI Light"/>
        </w:rPr>
      </w:pPr>
      <w:r w:rsidRPr="00AB3499">
        <w:rPr>
          <w:rFonts w:cs="Segoe UI Light"/>
        </w:rPr>
        <w:t xml:space="preserve">The Fund </w:t>
      </w:r>
      <w:r w:rsidRPr="003532D4">
        <w:rPr>
          <w:rFonts w:cs="Segoe UI Light"/>
        </w:rPr>
        <w:t>provide</w:t>
      </w:r>
      <w:r w:rsidRPr="00AB3499">
        <w:rPr>
          <w:rFonts w:cs="Segoe UI Light"/>
        </w:rPr>
        <w:t>s</w:t>
      </w:r>
      <w:r w:rsidRPr="00253B2E">
        <w:rPr>
          <w:rFonts w:cs="Segoe UI Light"/>
        </w:rPr>
        <w:t xml:space="preserve"> investors with exposure to a diversified portfolio of intermediate term</w:t>
      </w:r>
      <w:r w:rsidRPr="003532D4">
        <w:rPr>
          <w:rFonts w:cs="Segoe UI Light"/>
        </w:rPr>
        <w:t xml:space="preserve"> global fixed interest and money market securities</w:t>
      </w:r>
      <w:r w:rsidR="000B032A">
        <w:rPr>
          <w:rFonts w:cs="Segoe UI Light"/>
        </w:rPr>
        <w:t>,</w:t>
      </w:r>
      <w:r w:rsidRPr="00AB3499">
        <w:rPr>
          <w:rFonts w:cs="Segoe UI Light"/>
        </w:rPr>
        <w:t xml:space="preserve"> whilst taking into account certain environmental and sustainability impact and social considerations</w:t>
      </w:r>
      <w:r w:rsidRPr="00253B2E">
        <w:rPr>
          <w:rFonts w:cs="Segoe UI Light"/>
        </w:rPr>
        <w:t>.</w:t>
      </w:r>
      <w:r w:rsidR="00856A6B">
        <w:rPr>
          <w:rFonts w:cs="Segoe UI Light"/>
        </w:rPr>
        <w:t xml:space="preserve"> </w:t>
      </w:r>
      <w:r w:rsidR="009C2BA0" w:rsidRPr="00A017D7">
        <w:rPr>
          <w:rFonts w:cs="Segoe UI Light"/>
        </w:rPr>
        <w:t xml:space="preserve">The Fund achieves this by </w:t>
      </w:r>
      <w:r w:rsidR="00CA388B">
        <w:rPr>
          <w:rFonts w:cs="Segoe UI Light"/>
        </w:rPr>
        <w:t>purchasing</w:t>
      </w:r>
      <w:r w:rsidR="009C2BA0" w:rsidRPr="00A017D7">
        <w:rPr>
          <w:rFonts w:cs="Segoe UI Light"/>
        </w:rPr>
        <w:t xml:space="preserve"> units </w:t>
      </w:r>
      <w:r w:rsidR="005C0C93">
        <w:rPr>
          <w:rFonts w:cs="Segoe UI Light"/>
        </w:rPr>
        <w:t>in a New Zealand dollar hedged class of the</w:t>
      </w:r>
      <w:r w:rsidR="009C2BA0" w:rsidRPr="00A017D7">
        <w:rPr>
          <w:rFonts w:cs="Segoe UI Light"/>
        </w:rPr>
        <w:t xml:space="preserve"> Dimensional Global Bond Sustainability Trust, an Australian unit trust registered as a managed investment scheme in Australia</w:t>
      </w:r>
      <w:r w:rsidR="00134F88">
        <w:rPr>
          <w:rFonts w:cs="Segoe UI Light"/>
        </w:rPr>
        <w:t>.</w:t>
      </w:r>
      <w:r w:rsidRPr="003532D4">
        <w:rPr>
          <w:rFonts w:cs="Segoe UI Light"/>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42" w:type="dxa"/>
          <w:right w:w="142" w:type="dxa"/>
        </w:tblCellMar>
        <w:tblLook w:val="04A0" w:firstRow="1" w:lastRow="0" w:firstColumn="1" w:lastColumn="0" w:noHBand="0" w:noVBand="1"/>
      </w:tblPr>
      <w:tblGrid>
        <w:gridCol w:w="4963"/>
        <w:gridCol w:w="4995"/>
      </w:tblGrid>
      <w:tr w:rsidR="002F1EE3" w14:paraId="63C5D4DF" w14:textId="77777777" w:rsidTr="00304909">
        <w:trPr>
          <w:trHeight w:val="422"/>
        </w:trPr>
        <w:tc>
          <w:tcPr>
            <w:tcW w:w="5228" w:type="dxa"/>
            <w:shd w:val="clear" w:color="auto" w:fill="006652" w:themeFill="accent1"/>
            <w:vAlign w:val="center"/>
          </w:tcPr>
          <w:p w14:paraId="374E733F" w14:textId="74277153" w:rsidR="002F1EE3" w:rsidRPr="009C155E" w:rsidRDefault="002F1EE3" w:rsidP="009C155E">
            <w:pPr>
              <w:rPr>
                <w:rFonts w:asciiTheme="minorHAnsi" w:hAnsiTheme="minorHAnsi" w:cstheme="minorHAnsi"/>
                <w:color w:val="FFFFFF" w:themeColor="background1"/>
              </w:rPr>
            </w:pPr>
            <w:r w:rsidRPr="009C155E">
              <w:rPr>
                <w:rFonts w:asciiTheme="minorHAnsi" w:hAnsiTheme="minorHAnsi" w:cstheme="minorHAnsi"/>
                <w:color w:val="FFFFFF" w:themeColor="background1"/>
              </w:rPr>
              <w:t xml:space="preserve">Total value of the </w:t>
            </w:r>
            <w:r w:rsidR="00BC538A">
              <w:rPr>
                <w:rFonts w:asciiTheme="minorHAnsi" w:hAnsiTheme="minorHAnsi" w:cstheme="minorHAnsi"/>
                <w:color w:val="FFFFFF" w:themeColor="background1"/>
              </w:rPr>
              <w:t>F</w:t>
            </w:r>
            <w:r w:rsidRPr="009C155E">
              <w:rPr>
                <w:rFonts w:asciiTheme="minorHAnsi" w:hAnsiTheme="minorHAnsi" w:cstheme="minorHAnsi"/>
                <w:color w:val="FFFFFF" w:themeColor="background1"/>
              </w:rPr>
              <w:t>und</w:t>
            </w:r>
          </w:p>
        </w:tc>
        <w:tc>
          <w:tcPr>
            <w:tcW w:w="5228" w:type="dxa"/>
            <w:shd w:val="clear" w:color="auto" w:fill="EAEAEA" w:themeFill="text1" w:themeFillTint="1A"/>
            <w:vAlign w:val="center"/>
          </w:tcPr>
          <w:p w14:paraId="57A8049D" w14:textId="4C0492E8" w:rsidR="002F1EE3" w:rsidRPr="00B63907" w:rsidRDefault="000A23BB" w:rsidP="00314CB8">
            <w:pPr>
              <w:rPr>
                <w:rFonts w:asciiTheme="minorHAnsi" w:hAnsiTheme="minorHAnsi" w:cstheme="minorHAnsi"/>
              </w:rPr>
            </w:pPr>
            <w:r w:rsidRPr="000A23BB">
              <w:rPr>
                <w:rFonts w:asciiTheme="minorHAnsi" w:hAnsiTheme="minorHAnsi" w:cstheme="minorHAnsi"/>
              </w:rPr>
              <w:t>$</w:t>
            </w:r>
            <w:r w:rsidR="00817C71">
              <w:rPr>
                <w:rFonts w:asciiTheme="minorHAnsi" w:hAnsiTheme="minorHAnsi" w:cstheme="minorHAnsi"/>
              </w:rPr>
              <w:t>4</w:t>
            </w:r>
            <w:r w:rsidR="00A22B2E">
              <w:rPr>
                <w:rFonts w:asciiTheme="minorHAnsi" w:hAnsiTheme="minorHAnsi" w:cstheme="minorHAnsi"/>
              </w:rPr>
              <w:t>88,876,798</w:t>
            </w:r>
          </w:p>
        </w:tc>
      </w:tr>
      <w:tr w:rsidR="002F1EE3" w14:paraId="4BF963FA" w14:textId="77777777" w:rsidTr="00304909">
        <w:trPr>
          <w:trHeight w:val="428"/>
        </w:trPr>
        <w:tc>
          <w:tcPr>
            <w:tcW w:w="5228" w:type="dxa"/>
            <w:shd w:val="clear" w:color="auto" w:fill="006652" w:themeFill="accent1"/>
            <w:vAlign w:val="center"/>
          </w:tcPr>
          <w:p w14:paraId="3784670C" w14:textId="5B070A4F" w:rsidR="002F1EE3" w:rsidRPr="009C155E" w:rsidRDefault="002F1EE3" w:rsidP="009C155E">
            <w:pPr>
              <w:rPr>
                <w:rFonts w:asciiTheme="minorHAnsi" w:hAnsiTheme="minorHAnsi" w:cstheme="minorHAnsi"/>
                <w:color w:val="FFFFFF" w:themeColor="background1"/>
              </w:rPr>
            </w:pPr>
            <w:r w:rsidRPr="009C155E">
              <w:rPr>
                <w:rFonts w:asciiTheme="minorHAnsi" w:hAnsiTheme="minorHAnsi" w:cstheme="minorHAnsi"/>
                <w:color w:val="FFFFFF" w:themeColor="background1"/>
              </w:rPr>
              <w:t xml:space="preserve">The date the </w:t>
            </w:r>
            <w:r w:rsidR="00BC538A">
              <w:rPr>
                <w:rFonts w:asciiTheme="minorHAnsi" w:hAnsiTheme="minorHAnsi" w:cstheme="minorHAnsi"/>
                <w:color w:val="FFFFFF" w:themeColor="background1"/>
              </w:rPr>
              <w:t>F</w:t>
            </w:r>
            <w:r w:rsidRPr="009C155E">
              <w:rPr>
                <w:rFonts w:asciiTheme="minorHAnsi" w:hAnsiTheme="minorHAnsi" w:cstheme="minorHAnsi"/>
                <w:color w:val="FFFFFF" w:themeColor="background1"/>
              </w:rPr>
              <w:t>und started</w:t>
            </w:r>
          </w:p>
        </w:tc>
        <w:tc>
          <w:tcPr>
            <w:tcW w:w="5228" w:type="dxa"/>
            <w:shd w:val="clear" w:color="auto" w:fill="EAEAEA" w:themeFill="text1" w:themeFillTint="1A"/>
            <w:vAlign w:val="center"/>
          </w:tcPr>
          <w:p w14:paraId="6D7210BF" w14:textId="1DA18FB2" w:rsidR="002F1EE3" w:rsidRPr="009C155E" w:rsidRDefault="00292E4D" w:rsidP="009C155E">
            <w:pPr>
              <w:rPr>
                <w:rFonts w:asciiTheme="minorHAnsi" w:hAnsiTheme="minorHAnsi" w:cstheme="minorHAnsi"/>
              </w:rPr>
            </w:pPr>
            <w:r w:rsidRPr="009C155E">
              <w:rPr>
                <w:rFonts w:asciiTheme="minorHAnsi" w:hAnsiTheme="minorHAnsi" w:cstheme="minorHAnsi"/>
              </w:rPr>
              <w:t xml:space="preserve">7 June </w:t>
            </w:r>
            <w:r w:rsidR="00B57EAD" w:rsidRPr="009C155E">
              <w:rPr>
                <w:rFonts w:asciiTheme="minorHAnsi" w:hAnsiTheme="minorHAnsi" w:cstheme="minorHAnsi"/>
              </w:rPr>
              <w:t>2022</w:t>
            </w:r>
          </w:p>
        </w:tc>
      </w:tr>
    </w:tbl>
    <w:p w14:paraId="491C3F70" w14:textId="77777777" w:rsidR="005F63C2" w:rsidRDefault="005F63C2" w:rsidP="005F63C2">
      <w:pPr>
        <w:spacing w:after="0"/>
        <w:rPr>
          <w:rFonts w:cs="Segoe UI Light"/>
        </w:rPr>
      </w:pPr>
    </w:p>
    <w:p w14:paraId="3DDFEE67" w14:textId="313EA318" w:rsidR="00FD36CF" w:rsidRPr="000653BA" w:rsidRDefault="004646EB" w:rsidP="00572B85">
      <w:pPr>
        <w:pStyle w:val="Heading3EV"/>
      </w:pPr>
      <w:r w:rsidRPr="000653BA">
        <w:t>What are the risks of investing?</w:t>
      </w:r>
    </w:p>
    <w:p w14:paraId="11348FF9" w14:textId="54669A7D" w:rsidR="00EB1463" w:rsidRDefault="00620A31" w:rsidP="008675ED">
      <w:pPr>
        <w:rPr>
          <w:rFonts w:cs="Segoe UI Light"/>
        </w:rPr>
      </w:pPr>
      <w:r>
        <w:rPr>
          <w:rFonts w:cs="Segoe UI Light"/>
        </w:rPr>
        <w:t xml:space="preserve">Risk </w:t>
      </w:r>
      <w:r w:rsidR="000653BA">
        <w:rPr>
          <w:rFonts w:cs="Segoe UI Light"/>
        </w:rPr>
        <w:t>i</w:t>
      </w:r>
      <w:r>
        <w:rPr>
          <w:rFonts w:cs="Segoe UI Light"/>
        </w:rPr>
        <w:t xml:space="preserve">ndicator for the </w:t>
      </w:r>
      <w:r w:rsidR="00AA4AE2">
        <w:rPr>
          <w:rFonts w:cs="Segoe UI Light"/>
        </w:rPr>
        <w:t>Evidential Sustainable</w:t>
      </w:r>
      <w:r w:rsidR="005360C3">
        <w:rPr>
          <w:rFonts w:cs="Segoe UI Light"/>
        </w:rPr>
        <w:t xml:space="preserve"> Global Bond Fund</w:t>
      </w:r>
      <w:r w:rsidR="003702F1">
        <w:rPr>
          <w:rFonts w:cs="Segoe UI Light"/>
        </w:rPr>
        <w:t>:</w:t>
      </w:r>
      <w:r w:rsidR="005360C3">
        <w:rPr>
          <w:rFonts w:cs="Segoe UI Light"/>
          <w:vertAlign w:val="superscript"/>
        </w:rPr>
        <w:t xml:space="preserve"> </w:t>
      </w:r>
      <w:r w:rsidR="00EB1463">
        <w:rPr>
          <w:rFonts w:cs="Segoe UI Light"/>
          <w:noProof/>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980"/>
        <w:gridCol w:w="980"/>
        <w:gridCol w:w="490"/>
        <w:gridCol w:w="490"/>
        <w:gridCol w:w="980"/>
        <w:gridCol w:w="980"/>
        <w:gridCol w:w="980"/>
      </w:tblGrid>
      <w:tr w:rsidR="001636B4" w:rsidRPr="000D417D" w14:paraId="3CC32358" w14:textId="77777777" w:rsidTr="00604E07">
        <w:trPr>
          <w:trHeight w:val="457"/>
          <w:jc w:val="center"/>
        </w:trPr>
        <w:tc>
          <w:tcPr>
            <w:tcW w:w="3429" w:type="dxa"/>
            <w:gridSpan w:val="4"/>
            <w:shd w:val="clear" w:color="auto" w:fill="auto"/>
            <w:vAlign w:val="center"/>
          </w:tcPr>
          <w:p w14:paraId="5E2256DA" w14:textId="77777777" w:rsidR="001636B4" w:rsidRPr="000D417D" w:rsidRDefault="001636B4" w:rsidP="005A7BC1">
            <w:pPr>
              <w:rPr>
                <w:rFonts w:cstheme="minorHAnsi"/>
                <w:noProof/>
                <w:sz w:val="20"/>
                <w:szCs w:val="20"/>
              </w:rPr>
            </w:pPr>
            <w:r w:rsidRPr="000D417D">
              <w:rPr>
                <w:rFonts w:asciiTheme="minorHAnsi" w:hAnsiTheme="minorHAnsi" w:cstheme="minorHAnsi"/>
                <w:noProof/>
                <w:sz w:val="20"/>
                <w:szCs w:val="20"/>
              </w:rPr>
              <w:t>Potentially lower returns</w:t>
            </w:r>
          </w:p>
        </w:tc>
        <w:tc>
          <w:tcPr>
            <w:tcW w:w="3430" w:type="dxa"/>
            <w:gridSpan w:val="4"/>
            <w:shd w:val="clear" w:color="auto" w:fill="auto"/>
            <w:vAlign w:val="center"/>
          </w:tcPr>
          <w:p w14:paraId="36DFA4D4" w14:textId="1D4794C0" w:rsidR="001636B4" w:rsidRPr="000D417D" w:rsidRDefault="001636B4" w:rsidP="005A7BC1">
            <w:pPr>
              <w:jc w:val="right"/>
              <w:rPr>
                <w:rFonts w:asciiTheme="minorHAnsi" w:hAnsiTheme="minorHAnsi" w:cstheme="minorHAnsi"/>
                <w:noProof/>
                <w:sz w:val="20"/>
                <w:szCs w:val="20"/>
              </w:rPr>
            </w:pPr>
            <w:r w:rsidRPr="000D417D">
              <w:rPr>
                <w:rFonts w:asciiTheme="minorHAnsi" w:hAnsiTheme="minorHAnsi" w:cstheme="minorHAnsi"/>
                <w:noProof/>
                <w:sz w:val="20"/>
                <w:szCs w:val="20"/>
              </w:rPr>
              <w:t>Potentially higher returns</w:t>
            </w:r>
          </w:p>
        </w:tc>
      </w:tr>
      <w:tr w:rsidR="00A331C2" w:rsidRPr="009F1D47" w14:paraId="57A7CACF" w14:textId="77777777" w:rsidTr="00604E07">
        <w:trPr>
          <w:trHeight w:val="920"/>
          <w:jc w:val="center"/>
        </w:trPr>
        <w:tc>
          <w:tcPr>
            <w:tcW w:w="979" w:type="dxa"/>
            <w:shd w:val="clear" w:color="auto" w:fill="auto"/>
            <w:vAlign w:val="center"/>
          </w:tcPr>
          <w:p w14:paraId="6D4DAF06" w14:textId="7F1BD5A3" w:rsidR="005A7BC1" w:rsidRPr="009F1D47" w:rsidRDefault="005A7BC1"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69DFCD37" wp14:editId="4BC6E538">
                      <wp:extent cx="359410" cy="359410"/>
                      <wp:effectExtent l="0" t="0" r="2540" b="2540"/>
                      <wp:docPr id="6" name="Oval 6"/>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C9923" w14:textId="77777777" w:rsidR="005A7BC1" w:rsidRPr="000C06A9" w:rsidRDefault="005A7BC1" w:rsidP="00C57FFD">
                                  <w:pPr>
                                    <w:pStyle w:val="NoSpacing"/>
                                    <w:jc w:val="center"/>
                                    <w:rPr>
                                      <w:sz w:val="24"/>
                                      <w:szCs w:val="24"/>
                                      <w:lang w:val="en-US"/>
                                    </w:rPr>
                                  </w:pPr>
                                  <w:r w:rsidRPr="000C06A9">
                                    <w:rPr>
                                      <w:sz w:val="28"/>
                                      <w:szCs w:val="28"/>
                                      <w:lang w:val="en-U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9DFCD37" id="Oval 6" o:spid="_x0000_s1027"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" fillcolor="#a0d5b1 [3206]" stroked="f" strokeweight="1pt">
                      <v:stroke joinstyle="miter"/>
                      <v:textbox inset="0,0,0,0">
                        <w:txbxContent>
                          <w:p w14:paraId="77CC9923" w14:textId="77777777" w:rsidR="005A7BC1" w:rsidRPr="000C06A9" w:rsidRDefault="005A7BC1" w:rsidP="00C57FFD">
                            <w:pPr>
                              <w:pStyle w:val="NoSpacing"/>
                              <w:jc w:val="center"/>
                              <w:rPr>
                                <w:sz w:val="24"/>
                                <w:szCs w:val="24"/>
                                <w:lang w:val="en-US"/>
                              </w:rPr>
                            </w:pPr>
                            <w:r w:rsidRPr="000C06A9">
                              <w:rPr>
                                <w:sz w:val="28"/>
                                <w:szCs w:val="28"/>
                                <w:lang w:val="en-US"/>
                              </w:rPr>
                              <w:t>1</w:t>
                            </w:r>
                          </w:p>
                        </w:txbxContent>
                      </v:textbox>
                      <w10:anchorlock/>
                    </v:oval>
                  </w:pict>
                </mc:Fallback>
              </mc:AlternateContent>
            </w:r>
          </w:p>
        </w:tc>
        <w:tc>
          <w:tcPr>
            <w:tcW w:w="980" w:type="dxa"/>
            <w:shd w:val="clear" w:color="auto" w:fill="auto"/>
            <w:vAlign w:val="center"/>
          </w:tcPr>
          <w:p w14:paraId="584070B0" w14:textId="365197BE" w:rsidR="005A7BC1" w:rsidRPr="009F1D47" w:rsidRDefault="005A7BC1"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73372013" wp14:editId="24D660C1">
                      <wp:extent cx="360000" cy="360000"/>
                      <wp:effectExtent l="0" t="0" r="2540" b="2540"/>
                      <wp:docPr id="31" name="Oval 31"/>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77930F" w14:textId="7673B8C6" w:rsidR="005A7BC1" w:rsidRPr="000C06A9" w:rsidRDefault="005A7BC1" w:rsidP="00B558C9">
                                  <w:pPr>
                                    <w:pStyle w:val="NoSpacing"/>
                                    <w:jc w:val="center"/>
                                    <w:rPr>
                                      <w:sz w:val="24"/>
                                      <w:szCs w:val="24"/>
                                      <w:lang w:val="en-US"/>
                                    </w:rPr>
                                  </w:pPr>
                                  <w:r>
                                    <w:rPr>
                                      <w:sz w:val="28"/>
                                      <w:szCs w:val="28"/>
                                      <w:lang w:val="en-U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3372013" id="Oval 31"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" fillcolor="#a0d5b1 [3206]" stroked="f" strokeweight="1pt">
                      <v:stroke joinstyle="miter"/>
                      <v:textbox inset="0,0,0,0">
                        <w:txbxContent>
                          <w:p w14:paraId="7077930F" w14:textId="7673B8C6" w:rsidR="005A7BC1" w:rsidRPr="000C06A9" w:rsidRDefault="005A7BC1" w:rsidP="00B558C9">
                            <w:pPr>
                              <w:pStyle w:val="NoSpacing"/>
                              <w:jc w:val="center"/>
                              <w:rPr>
                                <w:sz w:val="24"/>
                                <w:szCs w:val="24"/>
                                <w:lang w:val="en-US"/>
                              </w:rPr>
                            </w:pPr>
                            <w:r>
                              <w:rPr>
                                <w:sz w:val="28"/>
                                <w:szCs w:val="28"/>
                                <w:lang w:val="en-US"/>
                              </w:rPr>
                              <w:t>2</w:t>
                            </w:r>
                          </w:p>
                        </w:txbxContent>
                      </v:textbox>
                      <w10:anchorlock/>
                    </v:oval>
                  </w:pict>
                </mc:Fallback>
              </mc:AlternateContent>
            </w:r>
          </w:p>
        </w:tc>
        <w:tc>
          <w:tcPr>
            <w:tcW w:w="980" w:type="dxa"/>
            <w:shd w:val="clear" w:color="auto" w:fill="auto"/>
            <w:vAlign w:val="center"/>
          </w:tcPr>
          <w:p w14:paraId="3B30055A" w14:textId="40A2904C" w:rsidR="005A7BC1" w:rsidRPr="009F1D47" w:rsidRDefault="002A167B"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37868AD4" wp14:editId="2A39BAA9">
                      <wp:extent cx="360000" cy="360000"/>
                      <wp:effectExtent l="0" t="0" r="2540" b="2540"/>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F440E" w14:textId="77777777" w:rsidR="002A167B" w:rsidRPr="000C06A9" w:rsidRDefault="002A167B" w:rsidP="002A167B">
                                  <w:pPr>
                                    <w:pStyle w:val="NoSpacing"/>
                                    <w:jc w:val="center"/>
                                    <w:rPr>
                                      <w:sz w:val="24"/>
                                      <w:szCs w:val="24"/>
                                      <w:lang w:val="en-US"/>
                                    </w:rPr>
                                  </w:pPr>
                                  <w:r>
                                    <w:rPr>
                                      <w:sz w:val="28"/>
                                      <w:szCs w:val="28"/>
                                      <w:lang w:val="en-U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7868AD4" id="Oval 32"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" fillcolor="#a0d5b1 [3206]" stroked="f" strokeweight="1pt">
                      <v:stroke joinstyle="miter"/>
                      <v:textbox inset="0,0,0,0">
                        <w:txbxContent>
                          <w:p w14:paraId="2CBF440E" w14:textId="77777777" w:rsidR="002A167B" w:rsidRPr="000C06A9" w:rsidRDefault="002A167B" w:rsidP="002A167B">
                            <w:pPr>
                              <w:pStyle w:val="NoSpacing"/>
                              <w:jc w:val="center"/>
                              <w:rPr>
                                <w:sz w:val="24"/>
                                <w:szCs w:val="24"/>
                                <w:lang w:val="en-US"/>
                              </w:rPr>
                            </w:pPr>
                            <w:r>
                              <w:rPr>
                                <w:sz w:val="28"/>
                                <w:szCs w:val="28"/>
                                <w:lang w:val="en-US"/>
                              </w:rPr>
                              <w:t>3</w:t>
                            </w:r>
                          </w:p>
                        </w:txbxContent>
                      </v:textbox>
                      <w10:anchorlock/>
                    </v:oval>
                  </w:pict>
                </mc:Fallback>
              </mc:AlternateContent>
            </w:r>
          </w:p>
        </w:tc>
        <w:tc>
          <w:tcPr>
            <w:tcW w:w="980" w:type="dxa"/>
            <w:gridSpan w:val="2"/>
            <w:shd w:val="clear" w:color="auto" w:fill="auto"/>
            <w:vAlign w:val="center"/>
          </w:tcPr>
          <w:p w14:paraId="3C4A1960" w14:textId="159E195F" w:rsidR="005A7BC1" w:rsidRPr="009F1D47" w:rsidRDefault="002A167B" w:rsidP="00604E07">
            <w:pPr>
              <w:jc w:val="center"/>
              <w:rPr>
                <w:rFonts w:cs="Segoe UI Light"/>
                <w:b/>
                <w:bCs/>
                <w:sz w:val="28"/>
                <w:szCs w:val="28"/>
              </w:rPr>
            </w:pPr>
            <w:r>
              <w:rPr>
                <w:rFonts w:cs="Segoe UI Light"/>
                <w:b/>
                <w:bCs/>
                <w:noProof/>
                <w:sz w:val="28"/>
                <w:szCs w:val="28"/>
              </w:rPr>
              <mc:AlternateContent>
                <mc:Choice Requires="wps">
                  <w:drawing>
                    <wp:inline distT="0" distB="0" distL="0" distR="0" wp14:anchorId="215ECC52" wp14:editId="5E6DD13A">
                      <wp:extent cx="504000" cy="504000"/>
                      <wp:effectExtent l="0" t="0" r="0" b="0"/>
                      <wp:docPr id="5" name="Oval 5"/>
                      <wp:cNvGraphicFramePr/>
                      <a:graphic xmlns:a="http://schemas.openxmlformats.org/drawingml/2006/main">
                        <a:graphicData uri="http://schemas.microsoft.com/office/word/2010/wordprocessingShape">
                          <wps:wsp>
                            <wps:cNvSpPr/>
                            <wps:spPr>
                              <a:xfrm>
                                <a:off x="0" y="0"/>
                                <a:ext cx="504000" cy="504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3792F" w14:textId="77777777" w:rsidR="002A167B" w:rsidRPr="00C57FFD" w:rsidRDefault="002A167B" w:rsidP="002A167B">
                                  <w:pPr>
                                    <w:pStyle w:val="NoSpacing"/>
                                    <w:jc w:val="center"/>
                                    <w:rPr>
                                      <w:sz w:val="32"/>
                                      <w:szCs w:val="32"/>
                                      <w:lang w:val="en-US"/>
                                    </w:rPr>
                                  </w:pPr>
                                  <w:r>
                                    <w:rPr>
                                      <w:sz w:val="32"/>
                                      <w:szCs w:val="32"/>
                                      <w:lang w:val="en-US"/>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15ECC52" id="Oval 5" o:spid="_x0000_s1030" style="width:39.7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" fillcolor="#006652 [3204]" stroked="f" strokeweight="1pt">
                      <v:stroke joinstyle="miter"/>
                      <v:textbox inset="0,0,0,0">
                        <w:txbxContent>
                          <w:p w14:paraId="01A3792F" w14:textId="77777777" w:rsidR="002A167B" w:rsidRPr="00C57FFD" w:rsidRDefault="002A167B" w:rsidP="002A167B">
                            <w:pPr>
                              <w:pStyle w:val="NoSpacing"/>
                              <w:jc w:val="center"/>
                              <w:rPr>
                                <w:sz w:val="32"/>
                                <w:szCs w:val="32"/>
                                <w:lang w:val="en-US"/>
                              </w:rPr>
                            </w:pPr>
                            <w:r>
                              <w:rPr>
                                <w:sz w:val="32"/>
                                <w:szCs w:val="32"/>
                                <w:lang w:val="en-US"/>
                              </w:rPr>
                              <w:t>4</w:t>
                            </w:r>
                          </w:p>
                        </w:txbxContent>
                      </v:textbox>
                      <w10:anchorlock/>
                    </v:oval>
                  </w:pict>
                </mc:Fallback>
              </mc:AlternateContent>
            </w:r>
          </w:p>
        </w:tc>
        <w:tc>
          <w:tcPr>
            <w:tcW w:w="980" w:type="dxa"/>
            <w:shd w:val="clear" w:color="auto" w:fill="auto"/>
            <w:vAlign w:val="center"/>
          </w:tcPr>
          <w:p w14:paraId="01BC3CE3" w14:textId="138D7D1F" w:rsidR="005A7BC1" w:rsidRPr="009F1D47" w:rsidRDefault="005A7BC1"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3605CC87" wp14:editId="17842EB6">
                      <wp:extent cx="360000" cy="360000"/>
                      <wp:effectExtent l="0" t="0" r="2540" b="2540"/>
                      <wp:docPr id="33" name="Oval 3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AAA21" w14:textId="5AC8ED9B" w:rsidR="005A7BC1" w:rsidRPr="000C06A9" w:rsidRDefault="005A7BC1" w:rsidP="00A444B6">
                                  <w:pPr>
                                    <w:pStyle w:val="NoSpacing"/>
                                    <w:jc w:val="center"/>
                                    <w:rPr>
                                      <w:sz w:val="24"/>
                                      <w:szCs w:val="24"/>
                                      <w:lang w:val="en-US"/>
                                    </w:rPr>
                                  </w:pPr>
                                  <w:r>
                                    <w:rPr>
                                      <w:sz w:val="28"/>
                                      <w:szCs w:val="28"/>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605CC87" id="Oval 33"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" fillcolor="#a0d5b1 [3206]" stroked="f" strokeweight="1pt">
                      <v:stroke joinstyle="miter"/>
                      <v:textbox inset="0,0,0,0">
                        <w:txbxContent>
                          <w:p w14:paraId="26EAAA21" w14:textId="5AC8ED9B" w:rsidR="005A7BC1" w:rsidRPr="000C06A9" w:rsidRDefault="005A7BC1" w:rsidP="00A444B6">
                            <w:pPr>
                              <w:pStyle w:val="NoSpacing"/>
                              <w:jc w:val="center"/>
                              <w:rPr>
                                <w:sz w:val="24"/>
                                <w:szCs w:val="24"/>
                                <w:lang w:val="en-US"/>
                              </w:rPr>
                            </w:pPr>
                            <w:r>
                              <w:rPr>
                                <w:sz w:val="28"/>
                                <w:szCs w:val="28"/>
                                <w:lang w:val="en-US"/>
                              </w:rPr>
                              <w:t>5</w:t>
                            </w:r>
                          </w:p>
                        </w:txbxContent>
                      </v:textbox>
                      <w10:anchorlock/>
                    </v:oval>
                  </w:pict>
                </mc:Fallback>
              </mc:AlternateContent>
            </w:r>
          </w:p>
        </w:tc>
        <w:tc>
          <w:tcPr>
            <w:tcW w:w="980" w:type="dxa"/>
            <w:shd w:val="clear" w:color="auto" w:fill="auto"/>
            <w:vAlign w:val="center"/>
          </w:tcPr>
          <w:p w14:paraId="2D788F1B" w14:textId="76F7D134" w:rsidR="005A7BC1" w:rsidRPr="009F1D47" w:rsidRDefault="005A7BC1"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1C21A031" wp14:editId="510B4BA5">
                      <wp:extent cx="360000" cy="360000"/>
                      <wp:effectExtent l="0" t="0" r="2540" b="2540"/>
                      <wp:docPr id="34" name="Oval 34"/>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13EEC" w14:textId="44D2519D" w:rsidR="005A7BC1" w:rsidRPr="000C06A9" w:rsidRDefault="005A7BC1" w:rsidP="00A444B6">
                                  <w:pPr>
                                    <w:pStyle w:val="NoSpacing"/>
                                    <w:jc w:val="center"/>
                                    <w:rPr>
                                      <w:sz w:val="24"/>
                                      <w:szCs w:val="24"/>
                                      <w:lang w:val="en-US"/>
                                    </w:rPr>
                                  </w:pPr>
                                  <w:r>
                                    <w:rPr>
                                      <w:sz w:val="28"/>
                                      <w:szCs w:val="28"/>
                                      <w:lang w:val="en-US"/>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C21A031" id="Oval 34"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" fillcolor="#a0d5b1 [3206]" stroked="f" strokeweight="1pt">
                      <v:stroke joinstyle="miter"/>
                      <v:textbox inset="0,0,0,0">
                        <w:txbxContent>
                          <w:p w14:paraId="5AA13EEC" w14:textId="44D2519D" w:rsidR="005A7BC1" w:rsidRPr="000C06A9" w:rsidRDefault="005A7BC1" w:rsidP="00A444B6">
                            <w:pPr>
                              <w:pStyle w:val="NoSpacing"/>
                              <w:jc w:val="center"/>
                              <w:rPr>
                                <w:sz w:val="24"/>
                                <w:szCs w:val="24"/>
                                <w:lang w:val="en-US"/>
                              </w:rPr>
                            </w:pPr>
                            <w:r>
                              <w:rPr>
                                <w:sz w:val="28"/>
                                <w:szCs w:val="28"/>
                                <w:lang w:val="en-US"/>
                              </w:rPr>
                              <w:t>6</w:t>
                            </w:r>
                          </w:p>
                        </w:txbxContent>
                      </v:textbox>
                      <w10:anchorlock/>
                    </v:oval>
                  </w:pict>
                </mc:Fallback>
              </mc:AlternateContent>
            </w:r>
          </w:p>
        </w:tc>
        <w:tc>
          <w:tcPr>
            <w:tcW w:w="980" w:type="dxa"/>
            <w:shd w:val="clear" w:color="auto" w:fill="auto"/>
            <w:vAlign w:val="center"/>
          </w:tcPr>
          <w:p w14:paraId="0516D2F6" w14:textId="5823E8AE" w:rsidR="005A7BC1" w:rsidRPr="009F1D47" w:rsidRDefault="005A7BC1" w:rsidP="00BE33F8">
            <w:pPr>
              <w:jc w:val="center"/>
              <w:rPr>
                <w:rFonts w:cs="Segoe UI Light"/>
                <w:b/>
                <w:bCs/>
                <w:sz w:val="28"/>
                <w:szCs w:val="28"/>
              </w:rPr>
            </w:pPr>
            <w:r>
              <w:rPr>
                <w:rFonts w:cs="Segoe UI Light"/>
                <w:b/>
                <w:bCs/>
                <w:noProof/>
                <w:sz w:val="28"/>
                <w:szCs w:val="28"/>
              </w:rPr>
              <mc:AlternateContent>
                <mc:Choice Requires="wps">
                  <w:drawing>
                    <wp:inline distT="0" distB="0" distL="0" distR="0" wp14:anchorId="74A24695" wp14:editId="107AA723">
                      <wp:extent cx="360000" cy="360000"/>
                      <wp:effectExtent l="0" t="0" r="2540" b="2540"/>
                      <wp:docPr id="35" name="Oval 35"/>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99EF5" w14:textId="1B601E61" w:rsidR="005A7BC1" w:rsidRPr="000C06A9" w:rsidRDefault="005A7BC1" w:rsidP="00A444B6">
                                  <w:pPr>
                                    <w:pStyle w:val="NoSpacing"/>
                                    <w:jc w:val="center"/>
                                    <w:rPr>
                                      <w:sz w:val="24"/>
                                      <w:szCs w:val="24"/>
                                      <w:lang w:val="en-US"/>
                                    </w:rPr>
                                  </w:pPr>
                                  <w:r>
                                    <w:rPr>
                                      <w:sz w:val="28"/>
                                      <w:szCs w:val="28"/>
                                      <w:lang w:val="en-US"/>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4A24695" id="Oval 35" o:spid="_x0000_s1033"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" fillcolor="#a0d5b1 [3206]" stroked="f" strokeweight="1pt">
                      <v:stroke joinstyle="miter"/>
                      <v:textbox inset="0,0,0,0">
                        <w:txbxContent>
                          <w:p w14:paraId="3C099EF5" w14:textId="1B601E61" w:rsidR="005A7BC1" w:rsidRPr="000C06A9" w:rsidRDefault="005A7BC1" w:rsidP="00A444B6">
                            <w:pPr>
                              <w:pStyle w:val="NoSpacing"/>
                              <w:jc w:val="center"/>
                              <w:rPr>
                                <w:sz w:val="24"/>
                                <w:szCs w:val="24"/>
                                <w:lang w:val="en-US"/>
                              </w:rPr>
                            </w:pPr>
                            <w:r>
                              <w:rPr>
                                <w:sz w:val="28"/>
                                <w:szCs w:val="28"/>
                                <w:lang w:val="en-US"/>
                              </w:rPr>
                              <w:t>7</w:t>
                            </w:r>
                          </w:p>
                        </w:txbxContent>
                      </v:textbox>
                      <w10:anchorlock/>
                    </v:oval>
                  </w:pict>
                </mc:Fallback>
              </mc:AlternateContent>
            </w:r>
          </w:p>
        </w:tc>
      </w:tr>
      <w:tr w:rsidR="001636B4" w:rsidRPr="000D417D" w14:paraId="1F8B7400" w14:textId="77777777" w:rsidTr="00604E07">
        <w:trPr>
          <w:trHeight w:val="127"/>
          <w:jc w:val="center"/>
        </w:trPr>
        <w:tc>
          <w:tcPr>
            <w:tcW w:w="3429" w:type="dxa"/>
            <w:gridSpan w:val="4"/>
            <w:shd w:val="clear" w:color="auto" w:fill="auto"/>
            <w:vAlign w:val="center"/>
          </w:tcPr>
          <w:p w14:paraId="134979D2" w14:textId="77777777" w:rsidR="001636B4" w:rsidRPr="000D417D" w:rsidRDefault="001636B4" w:rsidP="005A7BC1">
            <w:pPr>
              <w:rPr>
                <w:rFonts w:cstheme="minorHAnsi"/>
                <w:noProof/>
                <w:sz w:val="20"/>
                <w:szCs w:val="20"/>
              </w:rPr>
            </w:pPr>
            <w:r w:rsidRPr="000D417D">
              <w:rPr>
                <w:rFonts w:asciiTheme="minorHAnsi" w:hAnsiTheme="minorHAnsi" w:cstheme="minorHAnsi"/>
                <w:noProof/>
                <w:sz w:val="20"/>
                <w:szCs w:val="20"/>
              </w:rPr>
              <w:t>Lower risk</w:t>
            </w:r>
          </w:p>
        </w:tc>
        <w:tc>
          <w:tcPr>
            <w:tcW w:w="3430" w:type="dxa"/>
            <w:gridSpan w:val="4"/>
            <w:shd w:val="clear" w:color="auto" w:fill="auto"/>
            <w:vAlign w:val="center"/>
          </w:tcPr>
          <w:p w14:paraId="32E8943B" w14:textId="070251C0" w:rsidR="001636B4" w:rsidRPr="000D417D" w:rsidRDefault="001636B4" w:rsidP="005A7BC1">
            <w:pPr>
              <w:jc w:val="right"/>
              <w:rPr>
                <w:rFonts w:asciiTheme="minorHAnsi" w:hAnsiTheme="minorHAnsi" w:cstheme="minorHAnsi"/>
                <w:noProof/>
                <w:sz w:val="20"/>
                <w:szCs w:val="20"/>
              </w:rPr>
            </w:pPr>
            <w:r w:rsidRPr="000D417D">
              <w:rPr>
                <w:rFonts w:asciiTheme="minorHAnsi" w:hAnsiTheme="minorHAnsi" w:cstheme="minorHAnsi"/>
                <w:noProof/>
                <w:sz w:val="20"/>
                <w:szCs w:val="20"/>
              </w:rPr>
              <w:t>Higher risk</w:t>
            </w:r>
          </w:p>
        </w:tc>
      </w:tr>
    </w:tbl>
    <w:p w14:paraId="7F377A08" w14:textId="77777777" w:rsidR="00AA4AE2" w:rsidRDefault="00AA4AE2" w:rsidP="008675ED">
      <w:pPr>
        <w:rPr>
          <w:rFonts w:cs="Segoe UI Light"/>
        </w:rPr>
      </w:pPr>
    </w:p>
    <w:p w14:paraId="7A774DE2" w14:textId="2DFFED59" w:rsidR="00620A31" w:rsidRDefault="00620A31" w:rsidP="008675ED">
      <w:pPr>
        <w:rPr>
          <w:rFonts w:cs="Segoe UI Light"/>
        </w:rPr>
      </w:pPr>
      <w:r>
        <w:rPr>
          <w:rFonts w:cs="Segoe UI Light"/>
        </w:rPr>
        <w:t>The risk indicator is rated from 1 (low) to 7 (high)</w:t>
      </w:r>
      <w:r w:rsidR="00987F83">
        <w:rPr>
          <w:rFonts w:cs="Segoe UI Light"/>
        </w:rPr>
        <w:t>. The rating reflects how much the value of the fund’s asset</w:t>
      </w:r>
      <w:r w:rsidR="001A1149">
        <w:rPr>
          <w:rFonts w:cs="Segoe UI Light"/>
        </w:rPr>
        <w:t xml:space="preserve">s goes up and down. A higher risk generally means higher potential returns over time, but more ups and downs along the way. </w:t>
      </w:r>
    </w:p>
    <w:p w14:paraId="10840882" w14:textId="6A2B02C4" w:rsidR="001A1149" w:rsidRDefault="001A1149" w:rsidP="008675ED">
      <w:pPr>
        <w:rPr>
          <w:rFonts w:cs="Segoe UI Light"/>
        </w:rPr>
      </w:pPr>
      <w:r>
        <w:rPr>
          <w:rFonts w:cs="Segoe UI Light"/>
        </w:rPr>
        <w:t xml:space="preserve">To help you </w:t>
      </w:r>
      <w:r w:rsidR="00746533">
        <w:rPr>
          <w:rFonts w:cs="Segoe UI Light"/>
        </w:rPr>
        <w:t xml:space="preserve">clarify your own attitude to risk, you can seek financial advice or work out your risk profile at </w:t>
      </w:r>
      <w:hyperlink r:id="rId12" w:history="1">
        <w:r w:rsidR="001A7C03" w:rsidRPr="00ED1753">
          <w:rPr>
            <w:rStyle w:val="Hyperlink"/>
            <w:rFonts w:cs="Segoe UI Light"/>
          </w:rPr>
          <w:t>www.sorted.org.nz/tools/investor-kickstarter</w:t>
        </w:r>
      </w:hyperlink>
      <w:r w:rsidR="001A7C03">
        <w:rPr>
          <w:rFonts w:cs="Segoe UI Light"/>
        </w:rPr>
        <w:t>.</w:t>
      </w:r>
    </w:p>
    <w:p w14:paraId="1CC09B7A" w14:textId="0E0A651E" w:rsidR="001A7C03" w:rsidRDefault="001A7C03" w:rsidP="008675ED">
      <w:pPr>
        <w:rPr>
          <w:rFonts w:cs="Segoe UI Light"/>
        </w:rPr>
      </w:pPr>
      <w:r>
        <w:rPr>
          <w:rFonts w:cs="Segoe UI Light"/>
        </w:rPr>
        <w:t xml:space="preserve">Note that even the lowest category does not mean a risk-free investment, and there are other risks that are not captured by this rating. </w:t>
      </w:r>
    </w:p>
    <w:p w14:paraId="630FB1B4" w14:textId="636C6E6D" w:rsidR="00D93DF0" w:rsidRDefault="00B55159" w:rsidP="008675ED">
      <w:pPr>
        <w:rPr>
          <w:rFonts w:cs="Segoe UI Light"/>
        </w:rPr>
      </w:pPr>
      <w:r>
        <w:rPr>
          <w:rFonts w:cs="Segoe UI Light"/>
        </w:rPr>
        <w:t xml:space="preserve">This risk indicator is not a guarantee of a fund’s future </w:t>
      </w:r>
      <w:r w:rsidRPr="004559DC">
        <w:rPr>
          <w:rFonts w:cs="Segoe UI Light"/>
        </w:rPr>
        <w:t>performance. The risk indicator is based on</w:t>
      </w:r>
      <w:r w:rsidR="00F5267B" w:rsidRPr="004559DC">
        <w:rPr>
          <w:rFonts w:cs="Segoe UI Light"/>
        </w:rPr>
        <w:t xml:space="preserve"> </w:t>
      </w:r>
      <w:r w:rsidR="00DC0901" w:rsidRPr="004559DC">
        <w:rPr>
          <w:rFonts w:cs="Segoe UI Light"/>
        </w:rPr>
        <w:t>the</w:t>
      </w:r>
      <w:r w:rsidR="00F5267B" w:rsidRPr="004559DC">
        <w:rPr>
          <w:rFonts w:cs="Segoe UI Light"/>
        </w:rPr>
        <w:t xml:space="preserve"> returns</w:t>
      </w:r>
      <w:r w:rsidR="004559DC" w:rsidRPr="004559DC">
        <w:rPr>
          <w:rFonts w:cs="Segoe UI Light"/>
        </w:rPr>
        <w:t xml:space="preserve"> data</w:t>
      </w:r>
      <w:r w:rsidR="00B32484">
        <w:rPr>
          <w:rStyle w:val="EndnoteReference"/>
          <w:rFonts w:cs="Segoe UI Light"/>
        </w:rPr>
        <w:endnoteReference w:id="2"/>
      </w:r>
      <w:r w:rsidR="004559DC" w:rsidRPr="004559DC">
        <w:rPr>
          <w:rFonts w:cs="Segoe UI Light"/>
        </w:rPr>
        <w:t xml:space="preserve"> for the 5 </w:t>
      </w:r>
      <w:r w:rsidR="004559DC" w:rsidRPr="00291028">
        <w:rPr>
          <w:rFonts w:cs="Segoe UI Light"/>
        </w:rPr>
        <w:t xml:space="preserve">years </w:t>
      </w:r>
      <w:r w:rsidR="004559DC" w:rsidRPr="00D36A69">
        <w:rPr>
          <w:rFonts w:cs="Segoe UI Light"/>
        </w:rPr>
        <w:t xml:space="preserve">to </w:t>
      </w:r>
      <w:r w:rsidR="009937B0" w:rsidRPr="00D36A69">
        <w:rPr>
          <w:rFonts w:cs="Segoe UI Light"/>
        </w:rPr>
        <w:t>3</w:t>
      </w:r>
      <w:r w:rsidR="00A22B2E">
        <w:rPr>
          <w:rFonts w:cs="Segoe UI Light"/>
        </w:rPr>
        <w:t>0 June</w:t>
      </w:r>
      <w:r w:rsidR="00121B48" w:rsidRPr="00D36A69">
        <w:rPr>
          <w:rFonts w:cs="Segoe UI Light"/>
        </w:rPr>
        <w:t xml:space="preserve"> </w:t>
      </w:r>
      <w:r w:rsidR="00803147" w:rsidRPr="00D36A69">
        <w:rPr>
          <w:rFonts w:cs="Segoe UI Light"/>
        </w:rPr>
        <w:t>202</w:t>
      </w:r>
      <w:r w:rsidR="00817C71">
        <w:rPr>
          <w:rFonts w:cs="Segoe UI Light"/>
        </w:rPr>
        <w:t>5</w:t>
      </w:r>
      <w:r w:rsidR="00FC4DC7" w:rsidRPr="00D36A69">
        <w:rPr>
          <w:rFonts w:cs="Segoe UI Light"/>
        </w:rPr>
        <w:t>.</w:t>
      </w:r>
      <w:r w:rsidR="00A27213" w:rsidRPr="00291028">
        <w:rPr>
          <w:rFonts w:cs="Segoe UI Light"/>
        </w:rPr>
        <w:t xml:space="preserve"> </w:t>
      </w:r>
      <w:r w:rsidR="00A2471B" w:rsidRPr="00291028">
        <w:rPr>
          <w:rFonts w:cs="Segoe UI Light"/>
        </w:rPr>
        <w:t>While</w:t>
      </w:r>
      <w:r w:rsidR="00A2471B">
        <w:rPr>
          <w:rFonts w:cs="Segoe UI Light"/>
        </w:rPr>
        <w:t xml:space="preserve"> risk indicators are us</w:t>
      </w:r>
      <w:r w:rsidR="00833BF3">
        <w:rPr>
          <w:rFonts w:cs="Segoe UI Light"/>
        </w:rPr>
        <w:t>ually relatively stable, they do shift from time to time. The risk indicator will continue to be updated in future fund updates</w:t>
      </w:r>
      <w:r w:rsidR="00C43103">
        <w:rPr>
          <w:rFonts w:cs="Segoe UI Light"/>
        </w:rPr>
        <w:t xml:space="preserve">. </w:t>
      </w:r>
    </w:p>
    <w:p w14:paraId="2D7F6F78" w14:textId="7242FA58" w:rsidR="000901D3" w:rsidRPr="005B52FE" w:rsidRDefault="00C43103" w:rsidP="005B52FE">
      <w:r>
        <w:t>See the product disclosure statement (</w:t>
      </w:r>
      <w:r w:rsidR="00D93DF0">
        <w:t>PDS) for more information about the risks associated with investing in this fund.</w:t>
      </w:r>
    </w:p>
    <w:p w14:paraId="1D42BAA3" w14:textId="77777777" w:rsidR="004144E6" w:rsidRDefault="004144E6">
      <w:pPr>
        <w:rPr>
          <w:rFonts w:ascii="Segoe UI Semibold" w:hAnsi="Segoe UI Semibold" w:cs="Segoe UI Semibold"/>
          <w:color w:val="1CB899" w:themeColor="accent5"/>
          <w:sz w:val="26"/>
          <w:szCs w:val="28"/>
        </w:rPr>
      </w:pPr>
      <w:r>
        <w:br w:type="page"/>
      </w:r>
    </w:p>
    <w:p w14:paraId="1A07624F" w14:textId="7F9BF63F" w:rsidR="00F819AB" w:rsidRPr="00B563EC" w:rsidRDefault="00F819AB" w:rsidP="00572B85">
      <w:pPr>
        <w:pStyle w:val="Heading3EV"/>
      </w:pPr>
      <w:r w:rsidRPr="00B563EC">
        <w:lastRenderedPageBreak/>
        <w:t>How has the fund performed?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260"/>
      </w:tblGrid>
      <w:tr w:rsidR="0072079D" w:rsidRPr="0072079D" w14:paraId="4DC7BCAA" w14:textId="77777777" w:rsidTr="007B00E0">
        <w:trPr>
          <w:trHeight w:val="397"/>
        </w:trPr>
        <w:tc>
          <w:tcPr>
            <w:tcW w:w="6663" w:type="dxa"/>
            <w:shd w:val="clear" w:color="auto" w:fill="006652" w:themeFill="accent1"/>
            <w:vAlign w:val="center"/>
          </w:tcPr>
          <w:p w14:paraId="5AACFB90" w14:textId="2B4AA273" w:rsidR="004E4D26" w:rsidRPr="004466AF" w:rsidRDefault="004E4D26" w:rsidP="0072079D">
            <w:pPr>
              <w:pStyle w:val="NormalRegular"/>
            </w:pPr>
          </w:p>
        </w:tc>
        <w:tc>
          <w:tcPr>
            <w:tcW w:w="3260" w:type="dxa"/>
            <w:shd w:val="clear" w:color="auto" w:fill="006652" w:themeFill="accent1"/>
            <w:vAlign w:val="center"/>
          </w:tcPr>
          <w:p w14:paraId="393B9AFB" w14:textId="3E8991C2" w:rsidR="004E4D26" w:rsidRPr="007B00E0" w:rsidRDefault="007011F2" w:rsidP="0072079D">
            <w:pPr>
              <w:pStyle w:val="NormalRegular"/>
              <w:jc w:val="right"/>
              <w:rPr>
                <w:rFonts w:asciiTheme="minorHAnsi" w:hAnsiTheme="minorHAnsi"/>
                <w:color w:val="FFFFFF" w:themeColor="background1"/>
                <w:sz w:val="17"/>
                <w:szCs w:val="17"/>
              </w:rPr>
            </w:pPr>
            <w:r w:rsidRPr="007B00E0">
              <w:rPr>
                <w:rFonts w:asciiTheme="minorHAnsi" w:hAnsiTheme="minorHAnsi"/>
                <w:color w:val="FFFFFF" w:themeColor="background1"/>
                <w:sz w:val="17"/>
                <w:szCs w:val="17"/>
              </w:rPr>
              <w:t>Past year</w:t>
            </w:r>
          </w:p>
        </w:tc>
      </w:tr>
      <w:tr w:rsidR="004E4D26" w:rsidRPr="004466AF" w14:paraId="7A3E6393" w14:textId="77777777" w:rsidTr="00517834">
        <w:trPr>
          <w:trHeight w:val="397"/>
        </w:trPr>
        <w:tc>
          <w:tcPr>
            <w:tcW w:w="6663" w:type="dxa"/>
            <w:tcBorders>
              <w:bottom w:val="single" w:sz="4" w:space="0" w:color="BFBFBF" w:themeColor="background1" w:themeShade="BF"/>
            </w:tcBorders>
            <w:shd w:val="clear" w:color="auto" w:fill="auto"/>
            <w:vAlign w:val="center"/>
          </w:tcPr>
          <w:p w14:paraId="029DAF7C" w14:textId="3B8E14E6" w:rsidR="004E4D26" w:rsidRPr="00517834" w:rsidRDefault="004E4D26" w:rsidP="007B00E0">
            <w:pPr>
              <w:rPr>
                <w:sz w:val="18"/>
                <w:szCs w:val="20"/>
              </w:rPr>
            </w:pPr>
            <w:r w:rsidRPr="00517834">
              <w:rPr>
                <w:sz w:val="18"/>
                <w:szCs w:val="20"/>
              </w:rPr>
              <w:t xml:space="preserve">Annual </w:t>
            </w:r>
            <w:r w:rsidR="006E3608" w:rsidRPr="00517834">
              <w:rPr>
                <w:sz w:val="18"/>
                <w:szCs w:val="20"/>
              </w:rPr>
              <w:t>r</w:t>
            </w:r>
            <w:r w:rsidRPr="00517834">
              <w:rPr>
                <w:sz w:val="18"/>
                <w:szCs w:val="20"/>
              </w:rPr>
              <w:t>eturn</w:t>
            </w:r>
            <w:r w:rsidR="006E3608" w:rsidRPr="00517834">
              <w:rPr>
                <w:sz w:val="18"/>
                <w:szCs w:val="20"/>
              </w:rPr>
              <w:t xml:space="preserve"> </w:t>
            </w:r>
            <w:r w:rsidRPr="00517834">
              <w:rPr>
                <w:sz w:val="18"/>
                <w:szCs w:val="20"/>
              </w:rPr>
              <w:t>(after deductions for charges and tax)</w:t>
            </w:r>
          </w:p>
        </w:tc>
        <w:tc>
          <w:tcPr>
            <w:tcW w:w="3260" w:type="dxa"/>
            <w:tcBorders>
              <w:bottom w:val="single" w:sz="4" w:space="0" w:color="BFBFBF" w:themeColor="background1" w:themeShade="BF"/>
            </w:tcBorders>
            <w:shd w:val="clear" w:color="auto" w:fill="auto"/>
            <w:vAlign w:val="center"/>
          </w:tcPr>
          <w:p w14:paraId="7661E6D5" w14:textId="20C7D53E" w:rsidR="004E4D26" w:rsidRPr="00EF02E7" w:rsidRDefault="004E39E7" w:rsidP="007B00E0">
            <w:pPr>
              <w:jc w:val="right"/>
              <w:rPr>
                <w:sz w:val="18"/>
                <w:szCs w:val="20"/>
              </w:rPr>
            </w:pPr>
            <w:r>
              <w:rPr>
                <w:sz w:val="18"/>
                <w:szCs w:val="20"/>
              </w:rPr>
              <w:t>3</w:t>
            </w:r>
            <w:r w:rsidR="00B06338">
              <w:rPr>
                <w:sz w:val="18"/>
                <w:szCs w:val="20"/>
              </w:rPr>
              <w:t>.</w:t>
            </w:r>
            <w:r>
              <w:rPr>
                <w:sz w:val="18"/>
                <w:szCs w:val="20"/>
              </w:rPr>
              <w:t>91</w:t>
            </w:r>
            <w:r w:rsidR="001219E5" w:rsidRPr="00EF02E7">
              <w:rPr>
                <w:sz w:val="18"/>
                <w:szCs w:val="20"/>
              </w:rPr>
              <w:t>%</w:t>
            </w:r>
          </w:p>
        </w:tc>
      </w:tr>
      <w:tr w:rsidR="004E4D26" w:rsidRPr="004466AF" w14:paraId="536C2584" w14:textId="77777777" w:rsidTr="00517834">
        <w:trPr>
          <w:trHeight w:val="397"/>
        </w:trPr>
        <w:tc>
          <w:tcPr>
            <w:tcW w:w="6663" w:type="dxa"/>
            <w:tcBorders>
              <w:top w:val="single" w:sz="4" w:space="0" w:color="BFBFBF" w:themeColor="background1" w:themeShade="BF"/>
              <w:bottom w:val="single" w:sz="4" w:space="0" w:color="BFBFBF" w:themeColor="background1" w:themeShade="BF"/>
            </w:tcBorders>
            <w:shd w:val="clear" w:color="auto" w:fill="auto"/>
            <w:vAlign w:val="center"/>
          </w:tcPr>
          <w:p w14:paraId="6B0E8D39" w14:textId="3250DE12" w:rsidR="004E4D26" w:rsidRPr="00517834" w:rsidRDefault="004E4D26" w:rsidP="007B00E0">
            <w:pPr>
              <w:rPr>
                <w:sz w:val="18"/>
                <w:szCs w:val="20"/>
              </w:rPr>
            </w:pPr>
            <w:r w:rsidRPr="00517834">
              <w:rPr>
                <w:sz w:val="18"/>
                <w:szCs w:val="20"/>
              </w:rPr>
              <w:t xml:space="preserve">Annual </w:t>
            </w:r>
            <w:r w:rsidR="006E3608" w:rsidRPr="00517834">
              <w:rPr>
                <w:sz w:val="18"/>
                <w:szCs w:val="20"/>
              </w:rPr>
              <w:t>r</w:t>
            </w:r>
            <w:r w:rsidRPr="00517834">
              <w:rPr>
                <w:sz w:val="18"/>
                <w:szCs w:val="20"/>
              </w:rPr>
              <w:t>eturn</w:t>
            </w:r>
            <w:r w:rsidR="006E3608" w:rsidRPr="00517834">
              <w:rPr>
                <w:sz w:val="18"/>
                <w:szCs w:val="20"/>
              </w:rPr>
              <w:t xml:space="preserve"> </w:t>
            </w:r>
            <w:r w:rsidRPr="00517834">
              <w:rPr>
                <w:sz w:val="18"/>
                <w:szCs w:val="20"/>
              </w:rPr>
              <w:t>(after deductions for charges but before tax)</w:t>
            </w:r>
          </w:p>
        </w:tc>
        <w:tc>
          <w:tcPr>
            <w:tcW w:w="3260" w:type="dxa"/>
            <w:tcBorders>
              <w:top w:val="single" w:sz="4" w:space="0" w:color="BFBFBF" w:themeColor="background1" w:themeShade="BF"/>
              <w:bottom w:val="single" w:sz="4" w:space="0" w:color="BFBFBF" w:themeColor="background1" w:themeShade="BF"/>
            </w:tcBorders>
            <w:shd w:val="clear" w:color="auto" w:fill="auto"/>
            <w:vAlign w:val="center"/>
          </w:tcPr>
          <w:p w14:paraId="284CA9FC" w14:textId="1268CAD4" w:rsidR="004E4D26" w:rsidRPr="00EF02E7" w:rsidRDefault="004E39E7" w:rsidP="00A85DF6">
            <w:pPr>
              <w:jc w:val="right"/>
              <w:rPr>
                <w:sz w:val="18"/>
                <w:szCs w:val="20"/>
              </w:rPr>
            </w:pPr>
            <w:r>
              <w:rPr>
                <w:sz w:val="18"/>
                <w:szCs w:val="20"/>
              </w:rPr>
              <w:t>5</w:t>
            </w:r>
            <w:r w:rsidR="00817C71">
              <w:rPr>
                <w:sz w:val="18"/>
                <w:szCs w:val="20"/>
              </w:rPr>
              <w:t>.</w:t>
            </w:r>
            <w:r>
              <w:rPr>
                <w:sz w:val="18"/>
                <w:szCs w:val="20"/>
              </w:rPr>
              <w:t>43</w:t>
            </w:r>
            <w:r w:rsidR="00A85DF6" w:rsidRPr="00EF02E7">
              <w:rPr>
                <w:sz w:val="18"/>
                <w:szCs w:val="20"/>
              </w:rPr>
              <w:t>%</w:t>
            </w:r>
          </w:p>
        </w:tc>
      </w:tr>
      <w:tr w:rsidR="004E4D26" w:rsidRPr="004466AF" w14:paraId="65EE0A31" w14:textId="77777777" w:rsidTr="00517834">
        <w:trPr>
          <w:trHeight w:val="397"/>
        </w:trPr>
        <w:tc>
          <w:tcPr>
            <w:tcW w:w="6663" w:type="dxa"/>
            <w:tcBorders>
              <w:top w:val="single" w:sz="4" w:space="0" w:color="BFBFBF" w:themeColor="background1" w:themeShade="BF"/>
              <w:bottom w:val="single" w:sz="8" w:space="0" w:color="006652" w:themeColor="accent1"/>
            </w:tcBorders>
            <w:shd w:val="clear" w:color="auto" w:fill="auto"/>
            <w:vAlign w:val="center"/>
          </w:tcPr>
          <w:p w14:paraId="1FE6B1B9" w14:textId="7EAD320B" w:rsidR="004E4D26" w:rsidRPr="00517834" w:rsidRDefault="004E4D26" w:rsidP="007B00E0">
            <w:pPr>
              <w:rPr>
                <w:sz w:val="18"/>
                <w:szCs w:val="20"/>
              </w:rPr>
            </w:pPr>
            <w:r w:rsidRPr="00517834">
              <w:rPr>
                <w:sz w:val="18"/>
                <w:szCs w:val="20"/>
              </w:rPr>
              <w:t xml:space="preserve">Market </w:t>
            </w:r>
            <w:r w:rsidR="006E3608" w:rsidRPr="00517834">
              <w:rPr>
                <w:sz w:val="18"/>
                <w:szCs w:val="20"/>
              </w:rPr>
              <w:t>i</w:t>
            </w:r>
            <w:r w:rsidRPr="00517834">
              <w:rPr>
                <w:sz w:val="18"/>
                <w:szCs w:val="20"/>
              </w:rPr>
              <w:t>ndex annual return</w:t>
            </w:r>
            <w:r w:rsidR="006E3608" w:rsidRPr="00517834">
              <w:rPr>
                <w:sz w:val="18"/>
                <w:szCs w:val="20"/>
              </w:rPr>
              <w:t xml:space="preserve"> </w:t>
            </w:r>
            <w:r w:rsidRPr="00517834">
              <w:rPr>
                <w:sz w:val="18"/>
                <w:szCs w:val="20"/>
              </w:rPr>
              <w:t>(reflects no deduction for charges and tax)</w:t>
            </w:r>
          </w:p>
        </w:tc>
        <w:tc>
          <w:tcPr>
            <w:tcW w:w="3260" w:type="dxa"/>
            <w:tcBorders>
              <w:top w:val="single" w:sz="4" w:space="0" w:color="BFBFBF" w:themeColor="background1" w:themeShade="BF"/>
              <w:bottom w:val="single" w:sz="8" w:space="0" w:color="006652" w:themeColor="accent1"/>
            </w:tcBorders>
            <w:shd w:val="clear" w:color="auto" w:fill="auto"/>
            <w:vAlign w:val="center"/>
          </w:tcPr>
          <w:p w14:paraId="703CD268" w14:textId="540EDB23" w:rsidR="004E4D26" w:rsidRPr="00EF02E7" w:rsidRDefault="004E39E7" w:rsidP="007B00E0">
            <w:pPr>
              <w:jc w:val="right"/>
              <w:rPr>
                <w:sz w:val="18"/>
                <w:szCs w:val="20"/>
              </w:rPr>
            </w:pPr>
            <w:r>
              <w:rPr>
                <w:sz w:val="18"/>
                <w:szCs w:val="20"/>
              </w:rPr>
              <w:t>5</w:t>
            </w:r>
            <w:r w:rsidR="000E5DCE">
              <w:rPr>
                <w:sz w:val="18"/>
                <w:szCs w:val="20"/>
              </w:rPr>
              <w:t>.</w:t>
            </w:r>
            <w:r>
              <w:rPr>
                <w:sz w:val="18"/>
                <w:szCs w:val="20"/>
              </w:rPr>
              <w:t>47</w:t>
            </w:r>
            <w:r w:rsidR="00A0639A" w:rsidRPr="00EF02E7">
              <w:rPr>
                <w:sz w:val="18"/>
                <w:szCs w:val="20"/>
              </w:rPr>
              <w:t>%</w:t>
            </w:r>
          </w:p>
        </w:tc>
      </w:tr>
    </w:tbl>
    <w:p w14:paraId="6375CE2D" w14:textId="77777777" w:rsidR="004E0292" w:rsidRDefault="004E0292" w:rsidP="008675ED">
      <w:pPr>
        <w:rPr>
          <w:rFonts w:cs="Segoe UI Light"/>
        </w:rPr>
      </w:pPr>
    </w:p>
    <w:p w14:paraId="62C66F5F" w14:textId="39737E12" w:rsidR="00B97D33" w:rsidRDefault="009A454A" w:rsidP="008675ED">
      <w:pPr>
        <w:rPr>
          <w:rFonts w:cs="Segoe UI Light"/>
        </w:rPr>
      </w:pPr>
      <w:r>
        <w:rPr>
          <w:rFonts w:cs="Segoe UI Light"/>
        </w:rPr>
        <w:t xml:space="preserve">The </w:t>
      </w:r>
      <w:r w:rsidR="00DE4199">
        <w:rPr>
          <w:rFonts w:cs="Segoe UI Light"/>
        </w:rPr>
        <w:t>market</w:t>
      </w:r>
      <w:r w:rsidR="007475B6">
        <w:rPr>
          <w:rFonts w:cs="Segoe UI Light"/>
        </w:rPr>
        <w:t xml:space="preserve"> index</w:t>
      </w:r>
      <w:r w:rsidR="00C10465">
        <w:rPr>
          <w:rFonts w:cs="Segoe UI Light"/>
        </w:rPr>
        <w:t xml:space="preserve"> annual</w:t>
      </w:r>
      <w:r w:rsidR="00D166BA">
        <w:rPr>
          <w:rFonts w:cs="Segoe UI Light"/>
        </w:rPr>
        <w:t xml:space="preserve"> return</w:t>
      </w:r>
      <w:r w:rsidR="007475B6">
        <w:rPr>
          <w:rFonts w:cs="Segoe UI Light"/>
        </w:rPr>
        <w:t xml:space="preserve"> </w:t>
      </w:r>
      <w:r w:rsidR="00DE530E">
        <w:rPr>
          <w:rFonts w:cs="Segoe UI Light"/>
        </w:rPr>
        <w:t>is</w:t>
      </w:r>
      <w:r w:rsidR="001521DE">
        <w:rPr>
          <w:rFonts w:cs="Segoe UI Light"/>
        </w:rPr>
        <w:t xml:space="preserve"> based on the annual return of</w:t>
      </w:r>
      <w:r w:rsidR="00DE530E">
        <w:rPr>
          <w:rFonts w:cs="Segoe UI Light"/>
        </w:rPr>
        <w:t xml:space="preserve"> the Bloomberg Global Aggregate Bond Index hedged to the New Zealand </w:t>
      </w:r>
      <w:r w:rsidR="002C3CCD">
        <w:rPr>
          <w:rFonts w:cs="Segoe UI Light"/>
        </w:rPr>
        <w:t xml:space="preserve">dollar. </w:t>
      </w:r>
      <w:r w:rsidR="00F66EE8">
        <w:rPr>
          <w:rFonts w:cs="Segoe UI Light"/>
        </w:rPr>
        <w:t>Additional information about the market index is available</w:t>
      </w:r>
      <w:r w:rsidR="001521DE">
        <w:rPr>
          <w:rFonts w:cs="Segoe UI Light"/>
        </w:rPr>
        <w:t xml:space="preserve"> in the ‘Statement of Investment Policy and Objectives’ document</w:t>
      </w:r>
      <w:r w:rsidR="00F66EE8">
        <w:rPr>
          <w:rFonts w:cs="Segoe UI Light"/>
        </w:rPr>
        <w:t xml:space="preserve"> </w:t>
      </w:r>
      <w:r w:rsidR="00B97D33">
        <w:rPr>
          <w:rFonts w:cs="Segoe UI Light"/>
        </w:rPr>
        <w:t xml:space="preserve">on the offer register at </w:t>
      </w:r>
      <w:hyperlink r:id="rId13" w:history="1">
        <w:r w:rsidR="00B97D33" w:rsidRPr="00ED1753">
          <w:rPr>
            <w:rStyle w:val="Hyperlink"/>
            <w:rFonts w:cs="Segoe UI Light"/>
          </w:rPr>
          <w:t>www.disclose-register.companiesoffice.govt.nz</w:t>
        </w:r>
      </w:hyperlink>
      <w:r w:rsidR="00B97D33">
        <w:rPr>
          <w:rFonts w:cs="Segoe UI Light"/>
        </w:rPr>
        <w:t xml:space="preserve">. </w:t>
      </w:r>
      <w:r w:rsidR="004E0292">
        <w:rPr>
          <w:rFonts w:cs="Segoe UI Light"/>
        </w:rPr>
        <w:br/>
      </w:r>
    </w:p>
    <w:p w14:paraId="6C4A41EA" w14:textId="308DF632" w:rsidR="004948A5" w:rsidRDefault="00292F70" w:rsidP="000B78B3">
      <w:pPr>
        <w:pStyle w:val="Heading3EV"/>
      </w:pPr>
      <w:r w:rsidRPr="00292F70">
        <w:t>Annual return graph</w:t>
      </w:r>
    </w:p>
    <w:p w14:paraId="66BDD164" w14:textId="4CCE9567" w:rsidR="004948A5" w:rsidRPr="00B52AC4" w:rsidRDefault="008720A6" w:rsidP="00E90979">
      <w:pPr>
        <w:pStyle w:val="Heading3EV"/>
      </w:pPr>
      <w:r>
        <w:rPr>
          <w:noProof/>
        </w:rPr>
        <w:drawing>
          <wp:inline distT="0" distB="0" distL="0" distR="0" wp14:anchorId="64C3B9F5" wp14:editId="43C1CE3C">
            <wp:extent cx="6320678" cy="2113430"/>
            <wp:effectExtent l="0" t="0" r="4445" b="1270"/>
            <wp:docPr id="212483124" name="Chart 1">
              <a:extLst xmlns:a="http://schemas.openxmlformats.org/drawingml/2006/main">
                <a:ext uri="{FF2B5EF4-FFF2-40B4-BE49-F238E27FC236}">
                  <a16:creationId xmlns:a16="http://schemas.microsoft.com/office/drawing/2014/main" id="{83B0CA3D-C916-1509-57AB-89E5024BA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B78B3" w:rsidRPr="00E90979">
        <w:rPr>
          <w:rFonts w:ascii="Segoe UI Light" w:hAnsi="Segoe UI Light" w:cstheme="minorBidi"/>
          <w:color w:val="auto"/>
          <w:sz w:val="19"/>
          <w:szCs w:val="22"/>
        </w:rPr>
        <w:t xml:space="preserve">This shows the return after fund charges and tax for each year ending 31 March since the fund started. The last bar shows the average annual return since the fund started, up </w:t>
      </w:r>
      <w:r w:rsidR="000B78B3" w:rsidRPr="00EF02E7">
        <w:rPr>
          <w:rFonts w:ascii="Segoe UI Light" w:hAnsi="Segoe UI Light" w:cstheme="minorBidi"/>
          <w:color w:val="auto"/>
          <w:sz w:val="19"/>
          <w:szCs w:val="22"/>
        </w:rPr>
        <w:t xml:space="preserve">to </w:t>
      </w:r>
      <w:r w:rsidR="00D3136E" w:rsidRPr="00EF02E7">
        <w:rPr>
          <w:rFonts w:ascii="Segoe UI Light" w:hAnsi="Segoe UI Light" w:cstheme="minorBidi"/>
          <w:color w:val="auto"/>
          <w:sz w:val="19"/>
          <w:szCs w:val="22"/>
        </w:rPr>
        <w:t>3</w:t>
      </w:r>
      <w:r w:rsidR="00A74D63">
        <w:rPr>
          <w:rFonts w:ascii="Segoe UI Light" w:hAnsi="Segoe UI Light" w:cstheme="minorBidi"/>
          <w:color w:val="auto"/>
          <w:sz w:val="19"/>
          <w:szCs w:val="22"/>
        </w:rPr>
        <w:t>0 June</w:t>
      </w:r>
      <w:r w:rsidR="001C002F" w:rsidRPr="00EF02E7">
        <w:rPr>
          <w:rFonts w:ascii="Segoe UI Light" w:hAnsi="Segoe UI Light" w:cstheme="minorBidi"/>
          <w:color w:val="auto"/>
          <w:sz w:val="19"/>
          <w:szCs w:val="22"/>
        </w:rPr>
        <w:t xml:space="preserve"> </w:t>
      </w:r>
      <w:r w:rsidR="00D3136E" w:rsidRPr="00EF02E7">
        <w:rPr>
          <w:rFonts w:ascii="Segoe UI Light" w:hAnsi="Segoe UI Light" w:cstheme="minorBidi"/>
          <w:color w:val="auto"/>
          <w:sz w:val="19"/>
          <w:szCs w:val="22"/>
        </w:rPr>
        <w:t>202</w:t>
      </w:r>
      <w:r w:rsidR="008E28C2">
        <w:rPr>
          <w:rFonts w:ascii="Segoe UI Light" w:hAnsi="Segoe UI Light" w:cstheme="minorBidi"/>
          <w:color w:val="auto"/>
          <w:sz w:val="19"/>
          <w:szCs w:val="22"/>
        </w:rPr>
        <w:t>5</w:t>
      </w:r>
      <w:r w:rsidR="00ED7389" w:rsidRPr="00E90979">
        <w:rPr>
          <w:rFonts w:ascii="Segoe UI Light" w:hAnsi="Segoe UI Light" w:cstheme="minorBidi"/>
          <w:color w:val="auto"/>
          <w:sz w:val="19"/>
          <w:szCs w:val="22"/>
        </w:rPr>
        <w:t xml:space="preserve">. </w:t>
      </w:r>
      <w:r w:rsidR="00ED7389" w:rsidRPr="00E90979">
        <w:rPr>
          <w:color w:val="auto"/>
          <w:sz w:val="19"/>
          <w:szCs w:val="22"/>
        </w:rPr>
        <w:t>Important</w:t>
      </w:r>
      <w:r w:rsidR="00ED7389" w:rsidRPr="00E90979">
        <w:rPr>
          <w:rFonts w:ascii="Segoe UI Light" w:hAnsi="Segoe UI Light" w:cstheme="minorBidi"/>
          <w:color w:val="auto"/>
          <w:sz w:val="19"/>
          <w:szCs w:val="22"/>
        </w:rPr>
        <w:t>: This does not tell you how the fund will perform in the future.</w:t>
      </w:r>
      <w:r w:rsidR="00440FEF" w:rsidRPr="00E90979">
        <w:rPr>
          <w:rFonts w:ascii="Segoe UI Light" w:hAnsi="Segoe UI Light" w:cstheme="minorBidi"/>
          <w:color w:val="auto"/>
          <w:sz w:val="19"/>
          <w:szCs w:val="22"/>
        </w:rPr>
        <w:t xml:space="preserve"> Returns in this update are after tax at the highest prescribed investor rate (PIR) of tax for an individual New Zealand resident. Your tax may be lower.</w:t>
      </w:r>
    </w:p>
    <w:p w14:paraId="2E5C3F00" w14:textId="77777777" w:rsidR="00946D73" w:rsidRDefault="00946D73">
      <w:pPr>
        <w:rPr>
          <w:rFonts w:ascii="Segoe UI Semibold" w:hAnsi="Segoe UI Semibold" w:cs="Segoe UI Semibold"/>
          <w:color w:val="1CB899" w:themeColor="accent5"/>
          <w:sz w:val="26"/>
          <w:szCs w:val="28"/>
        </w:rPr>
      </w:pPr>
      <w:r>
        <w:br w:type="page"/>
      </w:r>
    </w:p>
    <w:p w14:paraId="73A85B98" w14:textId="5136620C" w:rsidR="00B049BF" w:rsidRDefault="008F2FDF" w:rsidP="00D52214">
      <w:pPr>
        <w:pStyle w:val="Heading3EV"/>
      </w:pPr>
      <w:r w:rsidRPr="008F2FDF">
        <w:lastRenderedPageBreak/>
        <w:t>What fees are investors charged</w:t>
      </w:r>
    </w:p>
    <w:p w14:paraId="25A3F47E" w14:textId="3F432487" w:rsidR="00AC68D6" w:rsidRPr="00C85689" w:rsidRDefault="00D52214" w:rsidP="00797120">
      <w:pPr>
        <w:spacing w:after="0"/>
      </w:pPr>
      <w:r w:rsidRPr="00C85689">
        <w:t xml:space="preserve">Investors in the Evidential Sustainable Global Bond Fund are charged fund charges. </w:t>
      </w:r>
      <w:r w:rsidR="00EF0019">
        <w:t xml:space="preserve">In the year to </w:t>
      </w:r>
      <w:r w:rsidR="00FB2B8E">
        <w:t>3</w:t>
      </w:r>
      <w:r w:rsidR="00E4364C">
        <w:t>1</w:t>
      </w:r>
      <w:r w:rsidR="003357C1" w:rsidRPr="00C85689">
        <w:t xml:space="preserve"> </w:t>
      </w:r>
      <w:r w:rsidR="00E4364C">
        <w:t>March</w:t>
      </w:r>
      <w:r w:rsidR="003357C1" w:rsidRPr="00C85689">
        <w:t xml:space="preserve"> </w:t>
      </w:r>
      <w:r w:rsidR="00A731C5" w:rsidRPr="00C85689">
        <w:t>202</w:t>
      </w:r>
      <w:r w:rsidR="00D35BCA">
        <w:t>5</w:t>
      </w:r>
      <w:r w:rsidR="00EF0019">
        <w:t xml:space="preserve"> these were:</w:t>
      </w:r>
    </w:p>
    <w:p w14:paraId="45C98350" w14:textId="77777777" w:rsidR="00C87125" w:rsidRPr="00C85689" w:rsidRDefault="00C87125" w:rsidP="00797120">
      <w:pPr>
        <w:spacing w:after="0"/>
      </w:pPr>
    </w:p>
    <w:tbl>
      <w:tblPr>
        <w:tblStyle w:val="TableGrid"/>
        <w:tblW w:w="992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5392"/>
        <w:gridCol w:w="4536"/>
      </w:tblGrid>
      <w:tr w:rsidR="008F2FDF" w:rsidRPr="00C85689" w14:paraId="28B63E92" w14:textId="77777777" w:rsidTr="007B00E0">
        <w:trPr>
          <w:trHeight w:val="624"/>
        </w:trPr>
        <w:tc>
          <w:tcPr>
            <w:tcW w:w="5392" w:type="dxa"/>
            <w:tcBorders>
              <w:top w:val="nil"/>
              <w:bottom w:val="nil"/>
            </w:tcBorders>
            <w:shd w:val="clear" w:color="auto" w:fill="006652" w:themeFill="accent1"/>
            <w:vAlign w:val="center"/>
          </w:tcPr>
          <w:p w14:paraId="6703D5A4" w14:textId="77777777" w:rsidR="008F2FDF" w:rsidRPr="00C85689" w:rsidRDefault="008F2FDF" w:rsidP="0048071B">
            <w:pPr>
              <w:pStyle w:val="NormalRegular"/>
              <w:rPr>
                <w:rFonts w:asciiTheme="minorHAnsi" w:hAnsiTheme="minorHAnsi"/>
                <w:color w:val="FFFFFF" w:themeColor="background1"/>
                <w:sz w:val="17"/>
                <w:szCs w:val="17"/>
              </w:rPr>
            </w:pPr>
          </w:p>
        </w:tc>
        <w:tc>
          <w:tcPr>
            <w:tcW w:w="4536" w:type="dxa"/>
            <w:tcBorders>
              <w:top w:val="nil"/>
              <w:bottom w:val="nil"/>
            </w:tcBorders>
            <w:shd w:val="clear" w:color="auto" w:fill="006652" w:themeFill="accent1"/>
            <w:vAlign w:val="center"/>
          </w:tcPr>
          <w:p w14:paraId="1927D8D6" w14:textId="1CE7C8E5" w:rsidR="008F2FDF" w:rsidRPr="00C85689" w:rsidRDefault="008F2FDF" w:rsidP="0048071B">
            <w:pPr>
              <w:pStyle w:val="NormalRegular"/>
              <w:jc w:val="right"/>
              <w:rPr>
                <w:rFonts w:asciiTheme="minorHAnsi" w:hAnsiTheme="minorHAnsi"/>
                <w:color w:val="FFFFFF" w:themeColor="background1"/>
                <w:sz w:val="17"/>
                <w:szCs w:val="17"/>
              </w:rPr>
            </w:pPr>
            <w:r w:rsidRPr="00C85689">
              <w:rPr>
                <w:rFonts w:asciiTheme="minorHAnsi" w:hAnsiTheme="minorHAnsi"/>
                <w:color w:val="FFFFFF" w:themeColor="background1"/>
                <w:sz w:val="17"/>
                <w:szCs w:val="17"/>
              </w:rPr>
              <w:t>% per annum of net asset value</w:t>
            </w:r>
            <w:r w:rsidRPr="00C85689">
              <w:rPr>
                <w:rFonts w:asciiTheme="minorHAnsi" w:hAnsiTheme="minorHAnsi"/>
                <w:color w:val="FFFFFF" w:themeColor="background1"/>
                <w:sz w:val="17"/>
                <w:szCs w:val="17"/>
              </w:rPr>
              <w:br/>
              <w:t>(including GST)</w:t>
            </w:r>
          </w:p>
        </w:tc>
      </w:tr>
      <w:tr w:rsidR="007B00E0" w:rsidRPr="00C85689" w14:paraId="524D6C57" w14:textId="77777777" w:rsidTr="00517834">
        <w:trPr>
          <w:trHeight w:val="397"/>
        </w:trPr>
        <w:tc>
          <w:tcPr>
            <w:tcW w:w="5392" w:type="dxa"/>
            <w:tcBorders>
              <w:top w:val="nil"/>
              <w:bottom w:val="single" w:sz="8" w:space="0" w:color="006652" w:themeColor="accent1"/>
            </w:tcBorders>
            <w:vAlign w:val="center"/>
          </w:tcPr>
          <w:p w14:paraId="285543C3" w14:textId="597F0332" w:rsidR="000C0D36" w:rsidRPr="00C85689" w:rsidRDefault="000C0D36" w:rsidP="0048071B">
            <w:pPr>
              <w:pStyle w:val="NormalRegular"/>
              <w:rPr>
                <w:rFonts w:asciiTheme="minorHAnsi" w:hAnsiTheme="minorHAnsi"/>
                <w:sz w:val="18"/>
                <w:szCs w:val="20"/>
              </w:rPr>
            </w:pPr>
            <w:r w:rsidRPr="00C85689">
              <w:rPr>
                <w:rFonts w:asciiTheme="minorHAnsi" w:hAnsiTheme="minorHAnsi"/>
                <w:sz w:val="18"/>
                <w:szCs w:val="20"/>
              </w:rPr>
              <w:t>Total fund charges</w:t>
            </w:r>
            <w:r w:rsidR="006D41F4" w:rsidRPr="00C85689">
              <w:rPr>
                <w:rFonts w:asciiTheme="minorHAnsi" w:hAnsiTheme="minorHAnsi"/>
                <w:sz w:val="18"/>
                <w:szCs w:val="20"/>
              </w:rPr>
              <w:t xml:space="preserve"> </w:t>
            </w:r>
          </w:p>
        </w:tc>
        <w:tc>
          <w:tcPr>
            <w:tcW w:w="4536" w:type="dxa"/>
            <w:tcBorders>
              <w:top w:val="nil"/>
              <w:bottom w:val="single" w:sz="8" w:space="0" w:color="006652" w:themeColor="accent1"/>
            </w:tcBorders>
            <w:vAlign w:val="center"/>
          </w:tcPr>
          <w:p w14:paraId="6A156841" w14:textId="0E3828C4" w:rsidR="000C0D36" w:rsidRPr="00C85689" w:rsidRDefault="000C0D36" w:rsidP="0048071B">
            <w:pPr>
              <w:pStyle w:val="NormalRegular"/>
              <w:jc w:val="right"/>
              <w:rPr>
                <w:rFonts w:asciiTheme="minorHAnsi" w:hAnsiTheme="minorHAnsi"/>
                <w:sz w:val="18"/>
                <w:szCs w:val="20"/>
              </w:rPr>
            </w:pPr>
            <w:r w:rsidRPr="00C85689">
              <w:rPr>
                <w:rFonts w:asciiTheme="minorHAnsi" w:hAnsiTheme="minorHAnsi"/>
                <w:sz w:val="18"/>
                <w:szCs w:val="20"/>
              </w:rPr>
              <w:t>0.</w:t>
            </w:r>
            <w:r w:rsidR="00BE47CA" w:rsidRPr="00C85689">
              <w:rPr>
                <w:rFonts w:asciiTheme="minorHAnsi" w:hAnsiTheme="minorHAnsi"/>
                <w:sz w:val="18"/>
                <w:szCs w:val="20"/>
              </w:rPr>
              <w:t>3</w:t>
            </w:r>
            <w:r w:rsidR="00D35BCA">
              <w:rPr>
                <w:rFonts w:asciiTheme="minorHAnsi" w:hAnsiTheme="minorHAnsi"/>
                <w:sz w:val="18"/>
                <w:szCs w:val="20"/>
              </w:rPr>
              <w:t>3</w:t>
            </w:r>
            <w:r w:rsidRPr="00C85689">
              <w:rPr>
                <w:rFonts w:asciiTheme="minorHAnsi" w:hAnsiTheme="minorHAnsi"/>
                <w:sz w:val="18"/>
                <w:szCs w:val="20"/>
              </w:rPr>
              <w:t>%</w:t>
            </w:r>
          </w:p>
        </w:tc>
      </w:tr>
      <w:tr w:rsidR="00084C43" w:rsidRPr="00C85689" w14:paraId="38249BD1" w14:textId="77777777" w:rsidTr="00517834">
        <w:trPr>
          <w:trHeight w:val="340"/>
        </w:trPr>
        <w:tc>
          <w:tcPr>
            <w:tcW w:w="5392" w:type="dxa"/>
            <w:tcBorders>
              <w:top w:val="single" w:sz="8" w:space="0" w:color="006652" w:themeColor="accent1"/>
              <w:bottom w:val="nil"/>
            </w:tcBorders>
            <w:vAlign w:val="center"/>
          </w:tcPr>
          <w:p w14:paraId="7F422091" w14:textId="77777777" w:rsidR="000C0D36" w:rsidRPr="00C85689" w:rsidRDefault="000C0D36" w:rsidP="0048071B">
            <w:pPr>
              <w:rPr>
                <w:rFonts w:cs="Segoe UI Light"/>
                <w:sz w:val="18"/>
                <w:szCs w:val="20"/>
              </w:rPr>
            </w:pPr>
            <w:r w:rsidRPr="00C85689">
              <w:rPr>
                <w:rFonts w:cs="Segoe UI Light"/>
                <w:sz w:val="18"/>
                <w:szCs w:val="20"/>
              </w:rPr>
              <w:t>Which are made up of:</w:t>
            </w:r>
          </w:p>
        </w:tc>
        <w:tc>
          <w:tcPr>
            <w:tcW w:w="4536" w:type="dxa"/>
            <w:tcBorders>
              <w:top w:val="single" w:sz="8" w:space="0" w:color="006652" w:themeColor="accent1"/>
              <w:bottom w:val="nil"/>
            </w:tcBorders>
            <w:vAlign w:val="center"/>
          </w:tcPr>
          <w:p w14:paraId="26E84826" w14:textId="77777777" w:rsidR="000C0D36" w:rsidRPr="00C85689" w:rsidRDefault="000C0D36" w:rsidP="0048071B">
            <w:pPr>
              <w:jc w:val="right"/>
              <w:rPr>
                <w:rFonts w:cs="Segoe UI Light"/>
                <w:sz w:val="18"/>
                <w:szCs w:val="20"/>
              </w:rPr>
            </w:pPr>
          </w:p>
        </w:tc>
      </w:tr>
      <w:tr w:rsidR="00084C43" w:rsidRPr="00C85689" w14:paraId="4F71056B" w14:textId="77777777" w:rsidTr="00517834">
        <w:trPr>
          <w:trHeight w:val="340"/>
        </w:trPr>
        <w:tc>
          <w:tcPr>
            <w:tcW w:w="5392" w:type="dxa"/>
            <w:tcBorders>
              <w:top w:val="nil"/>
              <w:bottom w:val="single" w:sz="4" w:space="0" w:color="BFBFBF" w:themeColor="background1" w:themeShade="BF"/>
            </w:tcBorders>
            <w:vAlign w:val="center"/>
          </w:tcPr>
          <w:p w14:paraId="6F7A7BBC" w14:textId="77777777" w:rsidR="000C0D36" w:rsidRPr="00C85689" w:rsidRDefault="000C0D36" w:rsidP="0048071B">
            <w:pPr>
              <w:pStyle w:val="NormalRegular"/>
              <w:rPr>
                <w:rFonts w:asciiTheme="minorHAnsi" w:hAnsiTheme="minorHAnsi"/>
                <w:sz w:val="18"/>
                <w:szCs w:val="20"/>
              </w:rPr>
            </w:pPr>
            <w:r w:rsidRPr="00C85689">
              <w:rPr>
                <w:rFonts w:asciiTheme="minorHAnsi" w:hAnsiTheme="minorHAnsi"/>
                <w:sz w:val="18"/>
                <w:szCs w:val="20"/>
              </w:rPr>
              <w:t xml:space="preserve">     Total management and administration charges</w:t>
            </w:r>
          </w:p>
        </w:tc>
        <w:tc>
          <w:tcPr>
            <w:tcW w:w="4536" w:type="dxa"/>
            <w:tcBorders>
              <w:top w:val="nil"/>
              <w:bottom w:val="single" w:sz="4" w:space="0" w:color="BFBFBF" w:themeColor="background1" w:themeShade="BF"/>
            </w:tcBorders>
            <w:vAlign w:val="center"/>
          </w:tcPr>
          <w:p w14:paraId="48E9E132" w14:textId="334FCDA1" w:rsidR="000C0D36" w:rsidRPr="00C85689" w:rsidRDefault="00585E5A" w:rsidP="0048071B">
            <w:pPr>
              <w:pStyle w:val="NormalRegular"/>
              <w:jc w:val="right"/>
              <w:rPr>
                <w:rFonts w:asciiTheme="minorHAnsi" w:hAnsiTheme="minorHAnsi"/>
                <w:sz w:val="18"/>
                <w:szCs w:val="20"/>
              </w:rPr>
            </w:pPr>
            <w:r w:rsidRPr="00C85689">
              <w:rPr>
                <w:rFonts w:asciiTheme="minorHAnsi" w:hAnsiTheme="minorHAnsi"/>
                <w:sz w:val="18"/>
                <w:szCs w:val="20"/>
              </w:rPr>
              <w:t>0.</w:t>
            </w:r>
            <w:r w:rsidR="00BE47CA" w:rsidRPr="00C85689">
              <w:rPr>
                <w:rFonts w:asciiTheme="minorHAnsi" w:hAnsiTheme="minorHAnsi"/>
                <w:sz w:val="18"/>
                <w:szCs w:val="20"/>
              </w:rPr>
              <w:t>3</w:t>
            </w:r>
            <w:r w:rsidR="00D35BCA">
              <w:rPr>
                <w:rFonts w:asciiTheme="minorHAnsi" w:hAnsiTheme="minorHAnsi"/>
                <w:sz w:val="18"/>
                <w:szCs w:val="20"/>
              </w:rPr>
              <w:t>3</w:t>
            </w:r>
            <w:r w:rsidRPr="00C85689">
              <w:rPr>
                <w:rFonts w:asciiTheme="minorHAnsi" w:hAnsiTheme="minorHAnsi"/>
                <w:sz w:val="18"/>
                <w:szCs w:val="20"/>
              </w:rPr>
              <w:t>%</w:t>
            </w:r>
          </w:p>
        </w:tc>
      </w:tr>
      <w:tr w:rsidR="00084C43" w:rsidRPr="00C85689" w14:paraId="699D4271" w14:textId="77777777" w:rsidTr="00517834">
        <w:trPr>
          <w:trHeight w:val="340"/>
        </w:trPr>
        <w:tc>
          <w:tcPr>
            <w:tcW w:w="5392" w:type="dxa"/>
            <w:tcBorders>
              <w:top w:val="single" w:sz="4" w:space="0" w:color="BFBFBF" w:themeColor="background1" w:themeShade="BF"/>
              <w:bottom w:val="nil"/>
            </w:tcBorders>
            <w:vAlign w:val="center"/>
          </w:tcPr>
          <w:p w14:paraId="3DE9B3EF" w14:textId="77777777" w:rsidR="000C0D36" w:rsidRPr="00C85689" w:rsidRDefault="000C0D36" w:rsidP="0048071B">
            <w:pPr>
              <w:rPr>
                <w:rFonts w:cs="Segoe UI Light"/>
                <w:sz w:val="18"/>
                <w:szCs w:val="20"/>
              </w:rPr>
            </w:pPr>
            <w:r w:rsidRPr="00C85689">
              <w:rPr>
                <w:rFonts w:cs="Segoe UI Light"/>
                <w:sz w:val="18"/>
                <w:szCs w:val="20"/>
              </w:rPr>
              <w:t xml:space="preserve">          Including:</w:t>
            </w:r>
          </w:p>
        </w:tc>
        <w:tc>
          <w:tcPr>
            <w:tcW w:w="4536" w:type="dxa"/>
            <w:tcBorders>
              <w:top w:val="single" w:sz="4" w:space="0" w:color="BFBFBF" w:themeColor="background1" w:themeShade="BF"/>
              <w:bottom w:val="nil"/>
            </w:tcBorders>
            <w:vAlign w:val="center"/>
          </w:tcPr>
          <w:p w14:paraId="49A8BE67" w14:textId="77777777" w:rsidR="000C0D36" w:rsidRPr="00C85689" w:rsidRDefault="000C0D36" w:rsidP="0048071B">
            <w:pPr>
              <w:jc w:val="right"/>
              <w:rPr>
                <w:rFonts w:cs="Segoe UI Light"/>
                <w:sz w:val="18"/>
                <w:szCs w:val="20"/>
              </w:rPr>
            </w:pPr>
          </w:p>
        </w:tc>
      </w:tr>
      <w:tr w:rsidR="00084C43" w:rsidRPr="00C85689" w14:paraId="0397C538" w14:textId="77777777" w:rsidTr="00517834">
        <w:trPr>
          <w:trHeight w:val="340"/>
        </w:trPr>
        <w:tc>
          <w:tcPr>
            <w:tcW w:w="5392" w:type="dxa"/>
            <w:tcBorders>
              <w:top w:val="nil"/>
              <w:bottom w:val="single" w:sz="4" w:space="0" w:color="BFBFBF" w:themeColor="background1" w:themeShade="BF"/>
            </w:tcBorders>
            <w:vAlign w:val="center"/>
          </w:tcPr>
          <w:p w14:paraId="510ADEC3" w14:textId="36E13D76" w:rsidR="000C0D36" w:rsidRPr="00C85689" w:rsidRDefault="000C0D36" w:rsidP="0048071B">
            <w:pPr>
              <w:rPr>
                <w:rFonts w:cs="Segoe UI Light"/>
                <w:sz w:val="18"/>
                <w:szCs w:val="20"/>
              </w:rPr>
            </w:pPr>
            <w:r w:rsidRPr="00C85689">
              <w:rPr>
                <w:rFonts w:cs="Segoe UI Light"/>
                <w:sz w:val="18"/>
                <w:szCs w:val="20"/>
              </w:rPr>
              <w:t xml:space="preserve">          Manager’s basic fee</w:t>
            </w:r>
            <w:r w:rsidR="00796ECD" w:rsidRPr="00C85689">
              <w:rPr>
                <w:rFonts w:cs="Segoe UI Light"/>
                <w:sz w:val="18"/>
                <w:szCs w:val="20"/>
              </w:rPr>
              <w:t xml:space="preserve"> </w:t>
            </w:r>
          </w:p>
        </w:tc>
        <w:tc>
          <w:tcPr>
            <w:tcW w:w="4536" w:type="dxa"/>
            <w:tcBorders>
              <w:top w:val="nil"/>
              <w:bottom w:val="single" w:sz="4" w:space="0" w:color="BFBFBF" w:themeColor="background1" w:themeShade="BF"/>
            </w:tcBorders>
            <w:vAlign w:val="center"/>
          </w:tcPr>
          <w:p w14:paraId="2910C664" w14:textId="1A0A21AF" w:rsidR="000C0D36" w:rsidRPr="00C85689" w:rsidRDefault="000C0D36" w:rsidP="0048071B">
            <w:pPr>
              <w:jc w:val="right"/>
              <w:rPr>
                <w:rFonts w:cs="Segoe UI Light"/>
                <w:sz w:val="18"/>
                <w:szCs w:val="20"/>
              </w:rPr>
            </w:pPr>
            <w:r w:rsidRPr="00C85689">
              <w:rPr>
                <w:rFonts w:cs="Segoe UI Light"/>
                <w:sz w:val="18"/>
                <w:szCs w:val="20"/>
              </w:rPr>
              <w:t>0.</w:t>
            </w:r>
            <w:r w:rsidR="00BE47CA" w:rsidRPr="00C85689">
              <w:rPr>
                <w:rFonts w:cs="Segoe UI Light"/>
                <w:sz w:val="18"/>
                <w:szCs w:val="20"/>
              </w:rPr>
              <w:t>3</w:t>
            </w:r>
            <w:r w:rsidR="00D35BCA">
              <w:rPr>
                <w:rFonts w:cs="Segoe UI Light"/>
                <w:sz w:val="18"/>
                <w:szCs w:val="20"/>
              </w:rPr>
              <w:t>3</w:t>
            </w:r>
            <w:r w:rsidRPr="00C85689">
              <w:rPr>
                <w:rFonts w:cs="Segoe UI Light"/>
                <w:sz w:val="18"/>
                <w:szCs w:val="20"/>
              </w:rPr>
              <w:t>%</w:t>
            </w:r>
          </w:p>
        </w:tc>
      </w:tr>
      <w:tr w:rsidR="00084C43" w:rsidRPr="00C85689" w14:paraId="5B030B5A" w14:textId="77777777" w:rsidTr="00517834">
        <w:trPr>
          <w:trHeight w:val="340"/>
        </w:trPr>
        <w:tc>
          <w:tcPr>
            <w:tcW w:w="5392" w:type="dxa"/>
            <w:tcBorders>
              <w:top w:val="single" w:sz="4" w:space="0" w:color="BFBFBF" w:themeColor="background1" w:themeShade="BF"/>
              <w:bottom w:val="single" w:sz="4" w:space="0" w:color="BFBFBF" w:themeColor="background1" w:themeShade="BF"/>
            </w:tcBorders>
            <w:vAlign w:val="center"/>
          </w:tcPr>
          <w:p w14:paraId="7075B57B" w14:textId="79FFA1BE" w:rsidR="000C0D36" w:rsidRPr="00C85689" w:rsidRDefault="000C0D36" w:rsidP="0048071B">
            <w:pPr>
              <w:rPr>
                <w:rFonts w:cs="Segoe UI Light"/>
                <w:sz w:val="18"/>
                <w:szCs w:val="20"/>
              </w:rPr>
            </w:pPr>
            <w:r w:rsidRPr="00C85689">
              <w:rPr>
                <w:rFonts w:cs="Segoe UI Light"/>
                <w:sz w:val="18"/>
                <w:szCs w:val="20"/>
              </w:rPr>
              <w:t xml:space="preserve">          Other management and administration charges </w:t>
            </w:r>
          </w:p>
        </w:tc>
        <w:tc>
          <w:tcPr>
            <w:tcW w:w="4536" w:type="dxa"/>
            <w:tcBorders>
              <w:top w:val="single" w:sz="4" w:space="0" w:color="BFBFBF" w:themeColor="background1" w:themeShade="BF"/>
              <w:bottom w:val="single" w:sz="4" w:space="0" w:color="BFBFBF" w:themeColor="background1" w:themeShade="BF"/>
            </w:tcBorders>
            <w:vAlign w:val="center"/>
          </w:tcPr>
          <w:p w14:paraId="6EC01C1A" w14:textId="77777777" w:rsidR="000C0D36" w:rsidRPr="00C85689" w:rsidRDefault="000C0D36" w:rsidP="0048071B">
            <w:pPr>
              <w:jc w:val="right"/>
              <w:rPr>
                <w:rFonts w:cs="Segoe UI Light"/>
                <w:sz w:val="18"/>
                <w:szCs w:val="20"/>
              </w:rPr>
            </w:pPr>
            <w:r w:rsidRPr="00C85689">
              <w:rPr>
                <w:rFonts w:cs="Segoe UI Light"/>
                <w:sz w:val="18"/>
                <w:szCs w:val="20"/>
              </w:rPr>
              <w:t>0.00%</w:t>
            </w:r>
          </w:p>
        </w:tc>
      </w:tr>
      <w:tr w:rsidR="00B318FA" w:rsidRPr="00C85689" w14:paraId="08E18198" w14:textId="77777777" w:rsidTr="00517834">
        <w:trPr>
          <w:trHeight w:val="397"/>
        </w:trPr>
        <w:tc>
          <w:tcPr>
            <w:tcW w:w="5392" w:type="dxa"/>
            <w:tcBorders>
              <w:top w:val="single" w:sz="4" w:space="0" w:color="BFBFBF" w:themeColor="background1" w:themeShade="BF"/>
              <w:bottom w:val="single" w:sz="8" w:space="0" w:color="006652" w:themeColor="accent1"/>
            </w:tcBorders>
            <w:vAlign w:val="center"/>
          </w:tcPr>
          <w:p w14:paraId="2DCE8E66" w14:textId="7D7AB583" w:rsidR="00FB558E" w:rsidRPr="00C85689" w:rsidRDefault="004E25B5" w:rsidP="0048071B">
            <w:pPr>
              <w:pStyle w:val="NormalRegular"/>
              <w:rPr>
                <w:rFonts w:asciiTheme="minorHAnsi" w:hAnsiTheme="minorHAnsi"/>
                <w:sz w:val="18"/>
                <w:szCs w:val="20"/>
              </w:rPr>
            </w:pPr>
            <w:r w:rsidRPr="00C85689">
              <w:rPr>
                <w:rFonts w:asciiTheme="minorHAnsi" w:hAnsiTheme="minorHAnsi"/>
                <w:sz w:val="18"/>
                <w:szCs w:val="20"/>
              </w:rPr>
              <w:t xml:space="preserve">     Total p</w:t>
            </w:r>
            <w:r w:rsidR="006168FF" w:rsidRPr="00C85689">
              <w:rPr>
                <w:rFonts w:asciiTheme="minorHAnsi" w:hAnsiTheme="minorHAnsi"/>
                <w:sz w:val="18"/>
                <w:szCs w:val="20"/>
              </w:rPr>
              <w:t>erformance</w:t>
            </w:r>
            <w:r w:rsidRPr="00C85689">
              <w:rPr>
                <w:rFonts w:asciiTheme="minorHAnsi" w:hAnsiTheme="minorHAnsi"/>
                <w:sz w:val="18"/>
                <w:szCs w:val="20"/>
              </w:rPr>
              <w:t>-based fees</w:t>
            </w:r>
            <w:r w:rsidR="006168FF" w:rsidRPr="00C85689">
              <w:rPr>
                <w:rFonts w:asciiTheme="minorHAnsi" w:hAnsiTheme="minorHAnsi"/>
                <w:sz w:val="18"/>
                <w:szCs w:val="20"/>
              </w:rPr>
              <w:t xml:space="preserve"> </w:t>
            </w:r>
          </w:p>
        </w:tc>
        <w:tc>
          <w:tcPr>
            <w:tcW w:w="4536" w:type="dxa"/>
            <w:tcBorders>
              <w:top w:val="single" w:sz="4" w:space="0" w:color="BFBFBF" w:themeColor="background1" w:themeShade="BF"/>
              <w:bottom w:val="single" w:sz="8" w:space="0" w:color="006652" w:themeColor="accent1"/>
            </w:tcBorders>
            <w:vAlign w:val="center"/>
          </w:tcPr>
          <w:p w14:paraId="6839B4FF" w14:textId="42DA933B" w:rsidR="00FB558E" w:rsidRPr="00C85689" w:rsidRDefault="004E25B5" w:rsidP="0048071B">
            <w:pPr>
              <w:pStyle w:val="NormalRegular"/>
              <w:jc w:val="right"/>
              <w:rPr>
                <w:rFonts w:asciiTheme="minorHAnsi" w:hAnsiTheme="minorHAnsi"/>
                <w:sz w:val="18"/>
                <w:szCs w:val="20"/>
              </w:rPr>
            </w:pPr>
            <w:r w:rsidRPr="00C85689">
              <w:rPr>
                <w:rFonts w:asciiTheme="minorHAnsi" w:hAnsiTheme="minorHAnsi"/>
                <w:sz w:val="18"/>
                <w:szCs w:val="20"/>
              </w:rPr>
              <w:t>0.00%</w:t>
            </w:r>
          </w:p>
        </w:tc>
      </w:tr>
    </w:tbl>
    <w:p w14:paraId="6263AE25" w14:textId="77777777" w:rsidR="00BC5680" w:rsidRPr="00C85689" w:rsidRDefault="00BC5680" w:rsidP="008675ED">
      <w:pPr>
        <w:rPr>
          <w:rFonts w:cs="Segoe UI Light"/>
        </w:rPr>
      </w:pPr>
    </w:p>
    <w:p w14:paraId="00BD774E" w14:textId="6E9CF304" w:rsidR="00561E99" w:rsidRDefault="00A6514B" w:rsidP="008675ED">
      <w:pPr>
        <w:rPr>
          <w:rFonts w:cs="Segoe UI Light"/>
        </w:rPr>
      </w:pPr>
      <w:r>
        <w:rPr>
          <w:rFonts w:cs="Segoe UI Light"/>
        </w:rPr>
        <w:t xml:space="preserve">From 1 August </w:t>
      </w:r>
      <w:r w:rsidR="005668EA">
        <w:rPr>
          <w:rFonts w:cs="Segoe UI Light"/>
        </w:rPr>
        <w:t>2024,</w:t>
      </w:r>
      <w:r w:rsidR="00BD5D31">
        <w:rPr>
          <w:rFonts w:cs="Segoe UI Light"/>
        </w:rPr>
        <w:t xml:space="preserve"> </w:t>
      </w:r>
      <w:r w:rsidR="00BD5D31" w:rsidRPr="00C85689">
        <w:rPr>
          <w:rFonts w:cs="Segoe UI Light"/>
        </w:rPr>
        <w:t>the Manager’s basic fee reduced from 0.</w:t>
      </w:r>
      <w:r w:rsidR="00BD5D31">
        <w:rPr>
          <w:rFonts w:cs="Segoe UI Light"/>
        </w:rPr>
        <w:t>35</w:t>
      </w:r>
      <w:r w:rsidR="00BD5D31" w:rsidRPr="00C85689">
        <w:rPr>
          <w:rFonts w:cs="Segoe UI Light"/>
        </w:rPr>
        <w:t>% to 0.3</w:t>
      </w:r>
      <w:r w:rsidR="00BD5D31">
        <w:rPr>
          <w:rFonts w:cs="Segoe UI Light"/>
        </w:rPr>
        <w:t>2</w:t>
      </w:r>
      <w:r w:rsidR="00BD5D31" w:rsidRPr="00C85689">
        <w:rPr>
          <w:rFonts w:cs="Segoe UI Light"/>
        </w:rPr>
        <w:t>%.</w:t>
      </w:r>
    </w:p>
    <w:p w14:paraId="3B69959C" w14:textId="0F6715D6" w:rsidR="004C00AD" w:rsidRPr="005B52FE" w:rsidRDefault="00C0243A" w:rsidP="008675ED">
      <w:r>
        <w:rPr>
          <w:rFonts w:cs="Segoe UI Light"/>
        </w:rPr>
        <w:t>Investors may also be charge</w:t>
      </w:r>
      <w:r w:rsidR="00796ECD">
        <w:rPr>
          <w:rFonts w:cs="Segoe UI Light"/>
        </w:rPr>
        <w:t>d</w:t>
      </w:r>
      <w:r>
        <w:rPr>
          <w:rFonts w:cs="Segoe UI Light"/>
        </w:rPr>
        <w:t xml:space="preserve"> individual action fees for specific actions or decisions (for example</w:t>
      </w:r>
      <w:r w:rsidR="00EA470F">
        <w:rPr>
          <w:rFonts w:cs="Segoe UI Light"/>
        </w:rPr>
        <w:t>, for withdrawing from funds)</w:t>
      </w:r>
      <w:r w:rsidR="00E33150">
        <w:rPr>
          <w:rFonts w:cs="Segoe UI Light"/>
        </w:rPr>
        <w:t>. See the PDS for</w:t>
      </w:r>
      <w:r w:rsidR="00230E92">
        <w:rPr>
          <w:rFonts w:cs="Segoe UI Light"/>
        </w:rPr>
        <w:t xml:space="preserve"> the</w:t>
      </w:r>
      <w:r w:rsidR="00E33150">
        <w:rPr>
          <w:rFonts w:cs="Segoe UI Light"/>
        </w:rPr>
        <w:t xml:space="preserve"> </w:t>
      </w:r>
      <w:r w:rsidR="002D2927">
        <w:rPr>
          <w:rFonts w:cs="Segoe UI Light"/>
        </w:rPr>
        <w:t xml:space="preserve">Evidential </w:t>
      </w:r>
      <w:r w:rsidR="009B5DC8">
        <w:rPr>
          <w:rFonts w:cs="Segoe UI Light"/>
        </w:rPr>
        <w:t>Sustainable Global Bond Fund</w:t>
      </w:r>
      <w:r w:rsidR="009B5DC8">
        <w:rPr>
          <w:rFonts w:cs="Segoe UI Light"/>
          <w:color w:val="323232" w:themeColor="text1"/>
        </w:rPr>
        <w:t xml:space="preserve"> </w:t>
      </w:r>
      <w:r w:rsidR="00F200E5">
        <w:rPr>
          <w:rFonts w:cs="Segoe UI Light"/>
        </w:rPr>
        <w:t xml:space="preserve">on the offer register at </w:t>
      </w:r>
      <w:hyperlink r:id="rId15" w:history="1">
        <w:r w:rsidR="00F200E5" w:rsidRPr="00ED1753">
          <w:rPr>
            <w:rStyle w:val="Hyperlink"/>
            <w:rFonts w:cs="Segoe UI Light"/>
          </w:rPr>
          <w:t>www.disclose-register.companiesoffice.govt.nz</w:t>
        </w:r>
      </w:hyperlink>
      <w:r w:rsidR="00F200E5">
        <w:rPr>
          <w:rFonts w:cs="Segoe UI Light"/>
        </w:rPr>
        <w:t xml:space="preserve"> </w:t>
      </w:r>
      <w:r w:rsidR="0049726C">
        <w:rPr>
          <w:rFonts w:cs="Segoe UI Light"/>
        </w:rPr>
        <w:t xml:space="preserve">for more information about those fees. </w:t>
      </w:r>
    </w:p>
    <w:p w14:paraId="08C6D691" w14:textId="77777777" w:rsidR="006D798A" w:rsidRDefault="006D798A" w:rsidP="005B4D8C">
      <w:pPr>
        <w:spacing w:after="0"/>
      </w:pPr>
    </w:p>
    <w:p w14:paraId="66B7703F" w14:textId="77777777" w:rsidR="00536025" w:rsidRDefault="0043377F" w:rsidP="00536025">
      <w:pPr>
        <w:pStyle w:val="Heading3EV"/>
      </w:pPr>
      <w:r w:rsidRPr="009B5DC8">
        <w:t>Example of how this applies to an investor</w:t>
      </w:r>
    </w:p>
    <w:p w14:paraId="7615317F" w14:textId="34E23FD4" w:rsidR="003D3965" w:rsidRDefault="00FF0683" w:rsidP="00536025">
      <w:r>
        <w:t xml:space="preserve">Small differences </w:t>
      </w:r>
      <w:r w:rsidR="00463794">
        <w:t xml:space="preserve">in fees and charges can have </w:t>
      </w:r>
      <w:r w:rsidR="004272F8">
        <w:t xml:space="preserve">a </w:t>
      </w:r>
      <w:r w:rsidR="00463794">
        <w:t xml:space="preserve">big impact on your investment over the long term. </w:t>
      </w:r>
    </w:p>
    <w:p w14:paraId="7E44F485" w14:textId="685174A8" w:rsidR="004144E6" w:rsidRDefault="008B28C9">
      <w:pPr>
        <w:rPr>
          <w:rFonts w:ascii="Segoe UI Semibold" w:hAnsi="Segoe UI Semibold" w:cs="Segoe UI Semibold"/>
          <w:color w:val="1CB899" w:themeColor="accent5"/>
          <w:sz w:val="26"/>
          <w:szCs w:val="26"/>
        </w:rPr>
      </w:pPr>
      <w:r>
        <w:t xml:space="preserve">Sam </w:t>
      </w:r>
      <w:r w:rsidR="00B072A8">
        <w:t xml:space="preserve">had $10,000 in the </w:t>
      </w:r>
      <w:r w:rsidR="00E65F01">
        <w:t>F</w:t>
      </w:r>
      <w:r w:rsidR="00B072A8">
        <w:t>und</w:t>
      </w:r>
      <w:r w:rsidR="00F53D8A">
        <w:t xml:space="preserve"> on </w:t>
      </w:r>
      <w:r w:rsidR="007C7D03">
        <w:t>1</w:t>
      </w:r>
      <w:r w:rsidR="0030553C">
        <w:t xml:space="preserve"> </w:t>
      </w:r>
      <w:r w:rsidR="00FC7073">
        <w:t>July</w:t>
      </w:r>
      <w:r w:rsidR="007F2F74">
        <w:t xml:space="preserve"> </w:t>
      </w:r>
      <w:r w:rsidR="00733B66">
        <w:t>202</w:t>
      </w:r>
      <w:r w:rsidR="00907A2F">
        <w:t>4</w:t>
      </w:r>
      <w:r w:rsidR="006F1588">
        <w:t xml:space="preserve"> and did not make any further contributions</w:t>
      </w:r>
      <w:r w:rsidR="00B072A8">
        <w:t xml:space="preserve">. </w:t>
      </w:r>
      <w:r w:rsidR="00B15A33">
        <w:t>O</w:t>
      </w:r>
      <w:r w:rsidR="00B37FEA">
        <w:t>n</w:t>
      </w:r>
      <w:r w:rsidR="006F1588">
        <w:t xml:space="preserve"> </w:t>
      </w:r>
      <w:r w:rsidR="00FC7073">
        <w:t>30 June</w:t>
      </w:r>
      <w:r w:rsidR="007F2F74">
        <w:t xml:space="preserve"> </w:t>
      </w:r>
      <w:r w:rsidR="00300505">
        <w:t>202</w:t>
      </w:r>
      <w:r w:rsidR="00E84CF8">
        <w:t>5</w:t>
      </w:r>
      <w:r w:rsidR="00B072A8">
        <w:t xml:space="preserve"> </w:t>
      </w:r>
      <w:r>
        <w:t xml:space="preserve">Sam </w:t>
      </w:r>
      <w:r w:rsidR="00FA3750">
        <w:t>received a return</w:t>
      </w:r>
      <w:r w:rsidR="00CB5C61">
        <w:t>,</w:t>
      </w:r>
      <w:r w:rsidR="00FA3750">
        <w:t xml:space="preserve"> </w:t>
      </w:r>
      <w:r w:rsidR="00F6703E">
        <w:t xml:space="preserve">after fund charges were </w:t>
      </w:r>
      <w:r w:rsidR="002B7C8B">
        <w:t>deducted</w:t>
      </w:r>
      <w:r w:rsidR="00CB5C61">
        <w:t>,</w:t>
      </w:r>
      <w:r w:rsidR="002B7C8B">
        <w:t xml:space="preserve"> </w:t>
      </w:r>
      <w:r w:rsidR="005325C9">
        <w:t>of</w:t>
      </w:r>
      <w:r w:rsidR="00B113ED">
        <w:t xml:space="preserve"> </w:t>
      </w:r>
      <w:r w:rsidR="005325C9">
        <w:t>$</w:t>
      </w:r>
      <w:r w:rsidR="004F7E38">
        <w:t>543</w:t>
      </w:r>
      <w:r w:rsidR="007F2F74">
        <w:t xml:space="preserve"> </w:t>
      </w:r>
      <w:r w:rsidR="00385C2B">
        <w:t xml:space="preserve">(that is </w:t>
      </w:r>
      <w:r w:rsidR="004F7E38">
        <w:t>5.43</w:t>
      </w:r>
      <w:r w:rsidR="00385C2B">
        <w:t xml:space="preserve">% of </w:t>
      </w:r>
      <w:r>
        <w:t xml:space="preserve">the </w:t>
      </w:r>
      <w:r w:rsidR="00385C2B">
        <w:t>initial $10,000).</w:t>
      </w:r>
      <w:r w:rsidR="005E3A09">
        <w:t xml:space="preserve"> </w:t>
      </w:r>
      <w:r w:rsidR="006468CB">
        <w:t xml:space="preserve">This gives </w:t>
      </w:r>
      <w:r w:rsidR="00B17352">
        <w:t xml:space="preserve">Sam </w:t>
      </w:r>
      <w:r w:rsidR="006468CB">
        <w:t xml:space="preserve">a total </w:t>
      </w:r>
      <w:r w:rsidR="005A733B">
        <w:t xml:space="preserve">return </w:t>
      </w:r>
      <w:r w:rsidR="006468CB">
        <w:t xml:space="preserve">after tax of </w:t>
      </w:r>
      <w:r w:rsidR="00F570F8">
        <w:t>$</w:t>
      </w:r>
      <w:r w:rsidR="004F7E38">
        <w:t>391</w:t>
      </w:r>
      <w:r w:rsidR="00AA5F03">
        <w:t xml:space="preserve"> </w:t>
      </w:r>
      <w:r w:rsidR="00181F09">
        <w:t xml:space="preserve">for the </w:t>
      </w:r>
      <w:r w:rsidR="00E36FB0">
        <w:t>period</w:t>
      </w:r>
      <w:r w:rsidR="00181F09">
        <w:t xml:space="preserve">. </w:t>
      </w:r>
      <w:r>
        <w:br w:type="page"/>
      </w:r>
    </w:p>
    <w:p w14:paraId="214D11E0" w14:textId="23FEBA7C" w:rsidR="00D43BE8" w:rsidRPr="0086429A" w:rsidRDefault="00D43BE8" w:rsidP="00EC522F">
      <w:pPr>
        <w:pStyle w:val="Heading3EV"/>
      </w:pPr>
      <w:r w:rsidRPr="0086429A">
        <w:lastRenderedPageBreak/>
        <w:t>What does the Fund invest in?</w:t>
      </w:r>
    </w:p>
    <w:p w14:paraId="7E505F49" w14:textId="0E96C9D0" w:rsidR="00E82CC8" w:rsidRPr="00DB1420" w:rsidRDefault="0005477C" w:rsidP="00E82CC8">
      <w:pPr>
        <w:rPr>
          <w:rFonts w:cs="Segoe UI Light"/>
          <w:color w:val="323232" w:themeColor="text1"/>
        </w:rPr>
      </w:pPr>
      <w:r>
        <w:rPr>
          <w:rFonts w:cs="Segoe UI Light"/>
          <w:color w:val="323232" w:themeColor="text1"/>
        </w:rPr>
        <w:t>This shows the types of assets that the Fund invests in</w:t>
      </w:r>
      <w:r w:rsidR="000637A4">
        <w:rPr>
          <w:rFonts w:cs="Segoe UI Light"/>
          <w:color w:val="323232" w:themeColor="text1"/>
        </w:rPr>
        <w:t>.</w:t>
      </w:r>
    </w:p>
    <w:p w14:paraId="5F79EF69" w14:textId="2A69FF74" w:rsidR="00DB1420" w:rsidRDefault="00DB1420" w:rsidP="00DB1420">
      <w:pPr>
        <w:rPr>
          <w:rFonts w:cs="Segoe UI Light"/>
          <w:color w:val="323232" w:themeColor="text1"/>
        </w:rPr>
      </w:pPr>
      <w:r>
        <w:rPr>
          <w:rFonts w:asciiTheme="minorHAnsi" w:hAnsiTheme="minorHAnsi" w:cstheme="minorHAnsi"/>
          <w:b/>
          <w:bCs/>
          <w:color w:val="323232" w:themeColor="text1"/>
        </w:rPr>
        <w:t xml:space="preserve"> </w:t>
      </w:r>
      <w:r>
        <w:rPr>
          <w:rFonts w:asciiTheme="minorHAnsi" w:hAnsiTheme="minorHAnsi" w:cstheme="minorHAnsi"/>
          <w:b/>
          <w:bCs/>
          <w:color w:val="323232" w:themeColor="text1"/>
        </w:rPr>
        <w:tab/>
        <w:t xml:space="preserve">        </w:t>
      </w:r>
      <w:r w:rsidR="00CF7A27" w:rsidRPr="005C4493">
        <w:rPr>
          <w:rFonts w:asciiTheme="minorHAnsi" w:hAnsiTheme="minorHAnsi" w:cstheme="minorHAnsi"/>
          <w:b/>
          <w:bCs/>
          <w:color w:val="323232" w:themeColor="text1"/>
        </w:rPr>
        <w:t>Actual investment mix</w:t>
      </w:r>
      <w:r w:rsidR="00CF7A27" w:rsidRPr="005C4493">
        <w:rPr>
          <w:rStyle w:val="EndnoteReference"/>
          <w:rFonts w:asciiTheme="minorHAnsi" w:hAnsiTheme="minorHAnsi" w:cstheme="minorHAnsi"/>
          <w:noProof/>
        </w:rPr>
        <w:endnoteReference w:id="3"/>
      </w:r>
      <w:r>
        <w:rPr>
          <w:rFonts w:asciiTheme="minorHAnsi" w:hAnsiTheme="minorHAnsi" w:cstheme="minorHAnsi"/>
          <w:b/>
          <w:bCs/>
          <w:color w:val="323232" w:themeColor="text1"/>
        </w:rPr>
        <w:tab/>
      </w:r>
      <w:r>
        <w:rPr>
          <w:rFonts w:asciiTheme="minorHAnsi" w:hAnsiTheme="minorHAnsi" w:cstheme="minorHAnsi"/>
          <w:b/>
          <w:bCs/>
          <w:color w:val="323232" w:themeColor="text1"/>
        </w:rPr>
        <w:tab/>
      </w:r>
      <w:r>
        <w:rPr>
          <w:rFonts w:asciiTheme="minorHAnsi" w:hAnsiTheme="minorHAnsi" w:cstheme="minorHAnsi"/>
          <w:b/>
          <w:bCs/>
          <w:color w:val="323232" w:themeColor="text1"/>
        </w:rPr>
        <w:tab/>
      </w:r>
      <w:r>
        <w:rPr>
          <w:rFonts w:asciiTheme="minorHAnsi" w:hAnsiTheme="minorHAnsi" w:cstheme="minorHAnsi"/>
          <w:b/>
          <w:bCs/>
          <w:color w:val="323232" w:themeColor="text1"/>
        </w:rPr>
        <w:tab/>
      </w:r>
      <w:r>
        <w:rPr>
          <w:rFonts w:asciiTheme="minorHAnsi" w:hAnsiTheme="minorHAnsi" w:cstheme="minorHAnsi"/>
          <w:b/>
          <w:bCs/>
          <w:color w:val="323232" w:themeColor="text1"/>
        </w:rPr>
        <w:tab/>
        <w:t xml:space="preserve">      </w:t>
      </w:r>
      <w:r w:rsidRPr="005C4493">
        <w:rPr>
          <w:rFonts w:asciiTheme="minorHAnsi" w:hAnsiTheme="minorHAnsi" w:cstheme="minorHAnsi"/>
          <w:b/>
          <w:bCs/>
          <w:color w:val="323232" w:themeColor="text1"/>
        </w:rPr>
        <w:t>Target investment mix</w:t>
      </w:r>
    </w:p>
    <w:p w14:paraId="0F30D09E" w14:textId="63E2860B" w:rsidR="007644E3" w:rsidRDefault="007644E3" w:rsidP="00E82CC8">
      <w:pPr>
        <w:rPr>
          <w:rFonts w:cs="Segoe UI Light"/>
          <w:color w:val="323232" w:themeColor="text1"/>
        </w:rPr>
        <w:sectPr w:rsidR="007644E3" w:rsidSect="00495F0C">
          <w:headerReference w:type="default" r:id="rId16"/>
          <w:footerReference w:type="default" r:id="rId17"/>
          <w:headerReference w:type="first" r:id="rId18"/>
          <w:footerReference w:type="first" r:id="rId19"/>
          <w:endnotePr>
            <w:numFmt w:val="decimal"/>
          </w:endnotePr>
          <w:type w:val="continuous"/>
          <w:pgSz w:w="11906" w:h="16838"/>
          <w:pgMar w:top="1701" w:right="964" w:bottom="1418" w:left="964" w:header="709" w:footer="340" w:gutter="0"/>
          <w:cols w:space="708"/>
          <w:titlePg/>
          <w:docGrid w:linePitch="360"/>
        </w:sectPr>
      </w:pPr>
    </w:p>
    <w:p w14:paraId="03F024CA" w14:textId="19E8865E" w:rsidR="003B2AA2" w:rsidRPr="0005477C" w:rsidRDefault="000E241B" w:rsidP="005B52FE">
      <w:r w:rsidRPr="005C4493">
        <w:rPr>
          <w:rFonts w:asciiTheme="minorHAnsi" w:hAnsiTheme="minorHAnsi" w:cstheme="minorHAnsi"/>
          <w:noProof/>
        </w:rPr>
        <w:drawing>
          <wp:anchor distT="0" distB="0" distL="114300" distR="114300" simplePos="0" relativeHeight="251658241" behindDoc="0" locked="0" layoutInCell="1" allowOverlap="1" wp14:anchorId="408B8493" wp14:editId="1F06723C">
            <wp:simplePos x="0" y="0"/>
            <wp:positionH relativeFrom="column">
              <wp:posOffset>3763645</wp:posOffset>
            </wp:positionH>
            <wp:positionV relativeFrom="paragraph">
              <wp:posOffset>12065</wp:posOffset>
            </wp:positionV>
            <wp:extent cx="2552700" cy="2219325"/>
            <wp:effectExtent l="0" t="0" r="0" b="0"/>
            <wp:wrapSquare wrapText="bothSides"/>
            <wp:docPr id="7" name="Chart 7">
              <a:extLst xmlns:a="http://schemas.openxmlformats.org/drawingml/2006/main">
                <a:ext uri="{FF2B5EF4-FFF2-40B4-BE49-F238E27FC236}">
                  <a16:creationId xmlns:a16="http://schemas.microsoft.com/office/drawing/2014/main" id="{25ED2A0A-6C25-489C-89F4-381B8E79E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5C4493">
        <w:rPr>
          <w:rFonts w:asciiTheme="minorHAnsi" w:hAnsiTheme="minorHAnsi" w:cstheme="minorHAnsi"/>
          <w:noProof/>
        </w:rPr>
        <w:drawing>
          <wp:anchor distT="0" distB="0" distL="114300" distR="114300" simplePos="0" relativeHeight="251658240" behindDoc="0" locked="0" layoutInCell="1" allowOverlap="1" wp14:anchorId="204F5483" wp14:editId="21E8480B">
            <wp:simplePos x="0" y="0"/>
            <wp:positionH relativeFrom="margin">
              <wp:align>left</wp:align>
            </wp:positionH>
            <wp:positionV relativeFrom="paragraph">
              <wp:posOffset>21590</wp:posOffset>
            </wp:positionV>
            <wp:extent cx="2714625" cy="2363470"/>
            <wp:effectExtent l="0" t="0" r="0" b="0"/>
            <wp:wrapSquare wrapText="bothSides"/>
            <wp:docPr id="27" name="Chart 27">
              <a:extLst xmlns:a="http://schemas.openxmlformats.org/drawingml/2006/main">
                <a:ext uri="{FF2B5EF4-FFF2-40B4-BE49-F238E27FC236}">
                  <a16:creationId xmlns:a16="http://schemas.microsoft.com/office/drawing/2014/main" id="{25ED2A0A-6C25-489C-89F4-381B8E79E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14:paraId="32157F0E" w14:textId="7058B6FD" w:rsidR="00155920" w:rsidRPr="005F4F12" w:rsidRDefault="00155920" w:rsidP="005B52FE"/>
    <w:p w14:paraId="681EE6E6" w14:textId="77777777" w:rsidR="005E50F6" w:rsidRDefault="005E50F6" w:rsidP="005B52FE"/>
    <w:p w14:paraId="2E8D92E5" w14:textId="77777777" w:rsidR="005E50F6" w:rsidRDefault="005E50F6" w:rsidP="005B52FE"/>
    <w:p w14:paraId="79C3D9C0" w14:textId="77777777" w:rsidR="005E50F6" w:rsidRDefault="005E50F6" w:rsidP="005B52FE"/>
    <w:p w14:paraId="4420A533" w14:textId="77777777" w:rsidR="005E50F6" w:rsidRDefault="005E50F6" w:rsidP="005B52FE"/>
    <w:p w14:paraId="2F7991E6" w14:textId="77777777" w:rsidR="005E50F6" w:rsidRDefault="005E50F6" w:rsidP="005B52FE"/>
    <w:p w14:paraId="3354A869" w14:textId="77777777" w:rsidR="005B59B9" w:rsidRDefault="005B59B9" w:rsidP="005B52FE"/>
    <w:p w14:paraId="69372883" w14:textId="77777777" w:rsidR="005B52FE" w:rsidRDefault="005B52FE" w:rsidP="005B52FE"/>
    <w:p w14:paraId="64CC2888" w14:textId="77777777" w:rsidR="000A4EDC" w:rsidRDefault="000A4EDC" w:rsidP="00B870E7">
      <w:pPr>
        <w:pStyle w:val="Heading3EV"/>
      </w:pPr>
    </w:p>
    <w:p w14:paraId="0A2161C4" w14:textId="021117D6" w:rsidR="00AE2301" w:rsidRPr="00B870E7" w:rsidRDefault="00954B16" w:rsidP="00B870E7">
      <w:pPr>
        <w:pStyle w:val="Heading3EV"/>
      </w:pPr>
      <w:r w:rsidRPr="006045A4">
        <w:t xml:space="preserve">Top 10 </w:t>
      </w:r>
      <w:r w:rsidR="00034142">
        <w:t>i</w:t>
      </w:r>
      <w:r w:rsidRPr="006045A4">
        <w:t>nvestments</w:t>
      </w:r>
    </w:p>
    <w:tbl>
      <w:tblPr>
        <w:tblStyle w:val="TableGrid"/>
        <w:tblW w:w="10207" w:type="dxa"/>
        <w:tblBorders>
          <w:left w:val="none" w:sz="0" w:space="0" w:color="auto"/>
          <w:right w:val="none" w:sz="0" w:space="0" w:color="auto"/>
          <w:insideH w:val="single" w:sz="8" w:space="0" w:color="FFFFFF" w:themeColor="background1"/>
          <w:insideV w:val="none" w:sz="0" w:space="0" w:color="auto"/>
        </w:tblBorders>
        <w:tblLayout w:type="fixed"/>
        <w:tblCellMar>
          <w:top w:w="57" w:type="dxa"/>
        </w:tblCellMar>
        <w:tblLook w:val="04A0" w:firstRow="1" w:lastRow="0" w:firstColumn="1" w:lastColumn="0" w:noHBand="0" w:noVBand="1"/>
      </w:tblPr>
      <w:tblGrid>
        <w:gridCol w:w="4111"/>
        <w:gridCol w:w="1276"/>
        <w:gridCol w:w="2126"/>
        <w:gridCol w:w="1418"/>
        <w:gridCol w:w="1276"/>
      </w:tblGrid>
      <w:tr w:rsidR="004046F4" w:rsidRPr="00322FB1" w14:paraId="32D32C73" w14:textId="05E1DB95" w:rsidTr="009A6D8C">
        <w:trPr>
          <w:trHeight w:val="624"/>
        </w:trPr>
        <w:tc>
          <w:tcPr>
            <w:tcW w:w="4111" w:type="dxa"/>
            <w:tcBorders>
              <w:top w:val="nil"/>
              <w:bottom w:val="nil"/>
            </w:tcBorders>
            <w:shd w:val="clear" w:color="auto" w:fill="006652" w:themeFill="accent1"/>
          </w:tcPr>
          <w:p w14:paraId="71F5FA36" w14:textId="46C83852" w:rsidR="000C2DB5" w:rsidRPr="00CD086A" w:rsidRDefault="000C2DB5" w:rsidP="00AC0A96">
            <w:pPr>
              <w:rPr>
                <w:rFonts w:asciiTheme="minorHAnsi" w:hAnsiTheme="minorHAnsi" w:cstheme="minorHAnsi"/>
                <w:color w:val="FFFFFF" w:themeColor="background1"/>
                <w:sz w:val="17"/>
                <w:szCs w:val="17"/>
              </w:rPr>
            </w:pPr>
            <w:r w:rsidRPr="00CD086A">
              <w:rPr>
                <w:rFonts w:asciiTheme="minorHAnsi" w:hAnsiTheme="minorHAnsi" w:cstheme="minorHAnsi"/>
                <w:color w:val="FFFFFF" w:themeColor="background1"/>
                <w:sz w:val="17"/>
                <w:szCs w:val="17"/>
              </w:rPr>
              <w:t xml:space="preserve">Name </w:t>
            </w:r>
          </w:p>
        </w:tc>
        <w:tc>
          <w:tcPr>
            <w:tcW w:w="1276" w:type="dxa"/>
            <w:tcBorders>
              <w:top w:val="nil"/>
              <w:bottom w:val="nil"/>
            </w:tcBorders>
            <w:shd w:val="clear" w:color="auto" w:fill="006652" w:themeFill="accent1"/>
          </w:tcPr>
          <w:p w14:paraId="048CEE3F" w14:textId="11036323" w:rsidR="000C2DB5" w:rsidRPr="00CD086A" w:rsidRDefault="000C2DB5" w:rsidP="00AC0A96">
            <w:pPr>
              <w:rPr>
                <w:rFonts w:asciiTheme="minorHAnsi" w:hAnsiTheme="minorHAnsi" w:cstheme="minorHAnsi"/>
                <w:color w:val="FFFFFF" w:themeColor="background1"/>
                <w:sz w:val="17"/>
                <w:szCs w:val="17"/>
              </w:rPr>
            </w:pPr>
            <w:r w:rsidRPr="00CD086A">
              <w:rPr>
                <w:rFonts w:asciiTheme="minorHAnsi" w:hAnsiTheme="minorHAnsi" w:cstheme="minorHAnsi"/>
                <w:color w:val="FFFFFF" w:themeColor="background1"/>
                <w:sz w:val="17"/>
                <w:szCs w:val="17"/>
              </w:rPr>
              <w:t xml:space="preserve">% of </w:t>
            </w:r>
            <w:r w:rsidR="006F1C60">
              <w:rPr>
                <w:rFonts w:asciiTheme="minorHAnsi" w:hAnsiTheme="minorHAnsi" w:cstheme="minorHAnsi"/>
                <w:color w:val="FFFFFF" w:themeColor="background1"/>
                <w:sz w:val="17"/>
                <w:szCs w:val="17"/>
              </w:rPr>
              <w:t>F</w:t>
            </w:r>
            <w:r w:rsidRPr="00CD086A">
              <w:rPr>
                <w:rFonts w:asciiTheme="minorHAnsi" w:hAnsiTheme="minorHAnsi" w:cstheme="minorHAnsi"/>
                <w:color w:val="FFFFFF" w:themeColor="background1"/>
                <w:sz w:val="17"/>
                <w:szCs w:val="17"/>
              </w:rPr>
              <w:t>und</w:t>
            </w:r>
            <w:r w:rsidR="005A61D3" w:rsidRPr="00CD086A">
              <w:rPr>
                <w:rFonts w:cstheme="minorHAnsi"/>
                <w:color w:val="FFFFFF" w:themeColor="background1"/>
                <w:sz w:val="17"/>
                <w:szCs w:val="17"/>
              </w:rPr>
              <w:br/>
            </w:r>
            <w:r w:rsidRPr="00CD086A">
              <w:rPr>
                <w:rFonts w:asciiTheme="minorHAnsi" w:hAnsiTheme="minorHAnsi" w:cstheme="minorHAnsi"/>
                <w:color w:val="FFFFFF" w:themeColor="background1"/>
                <w:sz w:val="17"/>
                <w:szCs w:val="17"/>
              </w:rPr>
              <w:t>net assets</w:t>
            </w:r>
          </w:p>
        </w:tc>
        <w:tc>
          <w:tcPr>
            <w:tcW w:w="2126" w:type="dxa"/>
            <w:tcBorders>
              <w:top w:val="nil"/>
              <w:bottom w:val="nil"/>
            </w:tcBorders>
            <w:shd w:val="clear" w:color="auto" w:fill="006652" w:themeFill="accent1"/>
          </w:tcPr>
          <w:p w14:paraId="2D9C877B" w14:textId="03DE6C35" w:rsidR="000C2DB5" w:rsidRPr="00CD086A" w:rsidRDefault="000C2DB5" w:rsidP="00AC0A96">
            <w:pPr>
              <w:rPr>
                <w:rFonts w:asciiTheme="minorHAnsi" w:hAnsiTheme="minorHAnsi" w:cstheme="minorHAnsi"/>
                <w:color w:val="FFFFFF" w:themeColor="background1"/>
                <w:sz w:val="17"/>
                <w:szCs w:val="17"/>
              </w:rPr>
            </w:pPr>
            <w:r w:rsidRPr="00CD086A">
              <w:rPr>
                <w:rFonts w:asciiTheme="minorHAnsi" w:hAnsiTheme="minorHAnsi" w:cstheme="minorHAnsi"/>
                <w:color w:val="FFFFFF" w:themeColor="background1"/>
                <w:sz w:val="17"/>
                <w:szCs w:val="17"/>
              </w:rPr>
              <w:t>Type</w:t>
            </w:r>
          </w:p>
        </w:tc>
        <w:tc>
          <w:tcPr>
            <w:tcW w:w="1418" w:type="dxa"/>
            <w:tcBorders>
              <w:top w:val="nil"/>
              <w:bottom w:val="nil"/>
            </w:tcBorders>
            <w:shd w:val="clear" w:color="auto" w:fill="006652" w:themeFill="accent1"/>
          </w:tcPr>
          <w:p w14:paraId="6906540C" w14:textId="373CA9A2" w:rsidR="000C2DB5" w:rsidRPr="00CD086A" w:rsidRDefault="000C2DB5" w:rsidP="00AC0A96">
            <w:pPr>
              <w:rPr>
                <w:rFonts w:asciiTheme="minorHAnsi" w:hAnsiTheme="minorHAnsi" w:cstheme="minorHAnsi"/>
                <w:color w:val="FFFFFF" w:themeColor="background1"/>
                <w:sz w:val="17"/>
                <w:szCs w:val="17"/>
              </w:rPr>
            </w:pPr>
            <w:r w:rsidRPr="00CD086A">
              <w:rPr>
                <w:rFonts w:asciiTheme="minorHAnsi" w:hAnsiTheme="minorHAnsi" w:cstheme="minorHAnsi"/>
                <w:color w:val="FFFFFF" w:themeColor="background1"/>
                <w:sz w:val="17"/>
                <w:szCs w:val="17"/>
              </w:rPr>
              <w:t>Country</w:t>
            </w:r>
          </w:p>
        </w:tc>
        <w:tc>
          <w:tcPr>
            <w:tcW w:w="1276" w:type="dxa"/>
            <w:tcBorders>
              <w:top w:val="nil"/>
              <w:bottom w:val="nil"/>
            </w:tcBorders>
            <w:shd w:val="clear" w:color="auto" w:fill="006652" w:themeFill="accent1"/>
          </w:tcPr>
          <w:p w14:paraId="44B19DDF" w14:textId="34006D3B" w:rsidR="000C2DB5" w:rsidRPr="00CD086A" w:rsidRDefault="000C2DB5" w:rsidP="00AC0A96">
            <w:pPr>
              <w:rPr>
                <w:rFonts w:asciiTheme="minorHAnsi" w:hAnsiTheme="minorHAnsi" w:cstheme="minorHAnsi"/>
                <w:color w:val="FFFFFF" w:themeColor="background1"/>
                <w:sz w:val="17"/>
                <w:szCs w:val="17"/>
              </w:rPr>
            </w:pPr>
            <w:r w:rsidRPr="00CD086A">
              <w:rPr>
                <w:rFonts w:asciiTheme="minorHAnsi" w:hAnsiTheme="minorHAnsi" w:cstheme="minorHAnsi"/>
                <w:color w:val="FFFFFF" w:themeColor="background1"/>
                <w:sz w:val="17"/>
                <w:szCs w:val="17"/>
              </w:rPr>
              <w:t>Credit rating</w:t>
            </w:r>
          </w:p>
        </w:tc>
      </w:tr>
      <w:tr w:rsidR="00843EF6" w:rsidRPr="00AA0AEF" w14:paraId="1B7D516A" w14:textId="10F9A873" w:rsidTr="00843EF6">
        <w:trPr>
          <w:trHeight w:val="369"/>
        </w:trPr>
        <w:tc>
          <w:tcPr>
            <w:tcW w:w="4111" w:type="dxa"/>
            <w:tcBorders>
              <w:top w:val="nil"/>
            </w:tcBorders>
            <w:shd w:val="clear" w:color="auto" w:fill="EAEAEA" w:themeFill="text1" w:themeFillTint="1A"/>
            <w:vAlign w:val="center"/>
          </w:tcPr>
          <w:p w14:paraId="6A5CF451" w14:textId="023A1E59" w:rsidR="00843EF6" w:rsidRPr="007B7344" w:rsidRDefault="00843EF6" w:rsidP="00843EF6">
            <w:pPr>
              <w:pStyle w:val="TableBodyCopy"/>
            </w:pPr>
            <w:r w:rsidRPr="002F6A3E">
              <w:t>FRANCE (GOVT OF) 1.250000% 05/25/2038</w:t>
            </w:r>
          </w:p>
        </w:tc>
        <w:tc>
          <w:tcPr>
            <w:tcW w:w="1276" w:type="dxa"/>
            <w:tcBorders>
              <w:top w:val="nil"/>
            </w:tcBorders>
            <w:shd w:val="clear" w:color="auto" w:fill="EAEAEA" w:themeFill="text1" w:themeFillTint="1A"/>
            <w:vAlign w:val="center"/>
          </w:tcPr>
          <w:p w14:paraId="0B15BEA4" w14:textId="16AD1590" w:rsidR="00843EF6" w:rsidRPr="00CA1E6D" w:rsidRDefault="00843EF6" w:rsidP="00843EF6">
            <w:pPr>
              <w:pStyle w:val="TableBodyCopy"/>
            </w:pPr>
            <w:r w:rsidRPr="0082514F">
              <w:t>2.03%</w:t>
            </w:r>
          </w:p>
        </w:tc>
        <w:tc>
          <w:tcPr>
            <w:tcW w:w="2126" w:type="dxa"/>
            <w:tcBorders>
              <w:top w:val="nil"/>
            </w:tcBorders>
            <w:shd w:val="clear" w:color="auto" w:fill="EAEAEA" w:themeFill="text1" w:themeFillTint="1A"/>
            <w:vAlign w:val="center"/>
          </w:tcPr>
          <w:p w14:paraId="5C3F4CAE" w14:textId="506E246E" w:rsidR="00843EF6" w:rsidRPr="007D3AC9" w:rsidRDefault="00843EF6" w:rsidP="00843EF6">
            <w:pPr>
              <w:pStyle w:val="TableBodyCopy"/>
            </w:pPr>
            <w:r w:rsidRPr="00572AE8">
              <w:t>International fixed interest</w:t>
            </w:r>
          </w:p>
        </w:tc>
        <w:tc>
          <w:tcPr>
            <w:tcW w:w="1418" w:type="dxa"/>
            <w:tcBorders>
              <w:top w:val="nil"/>
            </w:tcBorders>
            <w:shd w:val="clear" w:color="auto" w:fill="EAEAEA" w:themeFill="text1" w:themeFillTint="1A"/>
            <w:vAlign w:val="center"/>
          </w:tcPr>
          <w:p w14:paraId="036D8469" w14:textId="209165C8" w:rsidR="00843EF6" w:rsidRPr="00270D02" w:rsidRDefault="00843EF6" w:rsidP="00843EF6">
            <w:pPr>
              <w:pStyle w:val="TableBodyCopy"/>
            </w:pPr>
            <w:r w:rsidRPr="00F410BF">
              <w:t>France</w:t>
            </w:r>
          </w:p>
        </w:tc>
        <w:tc>
          <w:tcPr>
            <w:tcW w:w="1276" w:type="dxa"/>
            <w:tcBorders>
              <w:top w:val="nil"/>
            </w:tcBorders>
            <w:shd w:val="clear" w:color="auto" w:fill="EAEAEA" w:themeFill="text1" w:themeFillTint="1A"/>
            <w:vAlign w:val="center"/>
          </w:tcPr>
          <w:p w14:paraId="54BFFAC6" w14:textId="5F0F1E60" w:rsidR="00843EF6" w:rsidRPr="00DA7DFD" w:rsidRDefault="00843EF6" w:rsidP="00843EF6">
            <w:pPr>
              <w:pStyle w:val="TableBodyCopy"/>
            </w:pPr>
            <w:r w:rsidRPr="00843EF6">
              <w:t>AA</w:t>
            </w:r>
          </w:p>
        </w:tc>
      </w:tr>
      <w:tr w:rsidR="00843EF6" w:rsidRPr="00AA0AEF" w14:paraId="60F6DBAA" w14:textId="77777777" w:rsidTr="00843EF6">
        <w:trPr>
          <w:trHeight w:val="369"/>
        </w:trPr>
        <w:tc>
          <w:tcPr>
            <w:tcW w:w="4111" w:type="dxa"/>
            <w:shd w:val="clear" w:color="auto" w:fill="EAEAEA" w:themeFill="text1" w:themeFillTint="1A"/>
            <w:vAlign w:val="center"/>
          </w:tcPr>
          <w:p w14:paraId="04BE1634" w14:textId="5C7F15B2" w:rsidR="00843EF6" w:rsidRPr="007B7344" w:rsidRDefault="00843EF6" w:rsidP="00843EF6">
            <w:pPr>
              <w:pStyle w:val="TableBodyCopy"/>
            </w:pPr>
            <w:r w:rsidRPr="002F6A3E">
              <w:t>SOCIETE NATIONALE SNCF S 3.125000% 05/25/2034</w:t>
            </w:r>
          </w:p>
        </w:tc>
        <w:tc>
          <w:tcPr>
            <w:tcW w:w="1276" w:type="dxa"/>
            <w:shd w:val="clear" w:color="auto" w:fill="EAEAEA" w:themeFill="text1" w:themeFillTint="1A"/>
            <w:vAlign w:val="center"/>
          </w:tcPr>
          <w:p w14:paraId="0B66886F" w14:textId="51D3D96C" w:rsidR="00843EF6" w:rsidRPr="00CA1E6D" w:rsidRDefault="00843EF6" w:rsidP="00843EF6">
            <w:pPr>
              <w:pStyle w:val="TableBodyCopy"/>
            </w:pPr>
            <w:r w:rsidRPr="0082514F">
              <w:t>1.58%</w:t>
            </w:r>
          </w:p>
        </w:tc>
        <w:tc>
          <w:tcPr>
            <w:tcW w:w="2126" w:type="dxa"/>
            <w:shd w:val="clear" w:color="auto" w:fill="EAEAEA" w:themeFill="text1" w:themeFillTint="1A"/>
            <w:vAlign w:val="center"/>
          </w:tcPr>
          <w:p w14:paraId="778CBEFF" w14:textId="71E336C9"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6D883113" w14:textId="152F8361" w:rsidR="00843EF6" w:rsidRPr="00270D02" w:rsidRDefault="00843EF6" w:rsidP="00843EF6">
            <w:pPr>
              <w:pStyle w:val="TableBodyCopy"/>
            </w:pPr>
            <w:r w:rsidRPr="00F410BF">
              <w:t>France</w:t>
            </w:r>
          </w:p>
        </w:tc>
        <w:tc>
          <w:tcPr>
            <w:tcW w:w="1276" w:type="dxa"/>
            <w:shd w:val="clear" w:color="auto" w:fill="EAEAEA" w:themeFill="text1" w:themeFillTint="1A"/>
            <w:vAlign w:val="center"/>
          </w:tcPr>
          <w:p w14:paraId="1CCF8A3C" w14:textId="2D1376FD" w:rsidR="00843EF6" w:rsidRPr="00B14BC1" w:rsidRDefault="00843EF6" w:rsidP="00843EF6">
            <w:pPr>
              <w:pStyle w:val="TableBodyCopy"/>
            </w:pPr>
            <w:r w:rsidRPr="00843EF6">
              <w:t>A</w:t>
            </w:r>
          </w:p>
        </w:tc>
      </w:tr>
      <w:tr w:rsidR="00843EF6" w:rsidRPr="00AA0AEF" w14:paraId="0034D4C6" w14:textId="68AD9166" w:rsidTr="00843EF6">
        <w:trPr>
          <w:trHeight w:val="369"/>
        </w:trPr>
        <w:tc>
          <w:tcPr>
            <w:tcW w:w="4111" w:type="dxa"/>
            <w:shd w:val="clear" w:color="auto" w:fill="EAEAEA" w:themeFill="text1" w:themeFillTint="1A"/>
            <w:vAlign w:val="center"/>
          </w:tcPr>
          <w:p w14:paraId="4CCD219B" w14:textId="786D9E8E" w:rsidR="00843EF6" w:rsidRPr="007B7344" w:rsidRDefault="00843EF6" w:rsidP="00843EF6">
            <w:pPr>
              <w:pStyle w:val="TableBodyCopy"/>
            </w:pPr>
            <w:r w:rsidRPr="002F6A3E">
              <w:t>MANITOBA (PROVINCE OF) 4.250000% 06/02/2034</w:t>
            </w:r>
          </w:p>
        </w:tc>
        <w:tc>
          <w:tcPr>
            <w:tcW w:w="1276" w:type="dxa"/>
            <w:shd w:val="clear" w:color="auto" w:fill="EAEAEA" w:themeFill="text1" w:themeFillTint="1A"/>
            <w:vAlign w:val="center"/>
          </w:tcPr>
          <w:p w14:paraId="748F0C80" w14:textId="76FD4A3A" w:rsidR="00843EF6" w:rsidRPr="00CA1E6D" w:rsidRDefault="00843EF6" w:rsidP="00843EF6">
            <w:pPr>
              <w:pStyle w:val="TableBodyCopy"/>
            </w:pPr>
            <w:r w:rsidRPr="0082514F">
              <w:t>1.3</w:t>
            </w:r>
            <w:r w:rsidR="00365D61">
              <w:t>8</w:t>
            </w:r>
            <w:r w:rsidRPr="0082514F">
              <w:t>%</w:t>
            </w:r>
          </w:p>
        </w:tc>
        <w:tc>
          <w:tcPr>
            <w:tcW w:w="2126" w:type="dxa"/>
            <w:shd w:val="clear" w:color="auto" w:fill="EAEAEA" w:themeFill="text1" w:themeFillTint="1A"/>
            <w:vAlign w:val="center"/>
          </w:tcPr>
          <w:p w14:paraId="2EDF787F" w14:textId="31B7D8D6"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4E1E6C7D" w14:textId="71EB85CC" w:rsidR="00843EF6" w:rsidRPr="00270D02" w:rsidRDefault="00843EF6" w:rsidP="00843EF6">
            <w:pPr>
              <w:pStyle w:val="TableBodyCopy"/>
            </w:pPr>
            <w:r w:rsidRPr="00F410BF">
              <w:t>Canada</w:t>
            </w:r>
          </w:p>
        </w:tc>
        <w:tc>
          <w:tcPr>
            <w:tcW w:w="1276" w:type="dxa"/>
            <w:shd w:val="clear" w:color="auto" w:fill="EAEAEA" w:themeFill="text1" w:themeFillTint="1A"/>
            <w:vAlign w:val="center"/>
          </w:tcPr>
          <w:p w14:paraId="65AFDC1B" w14:textId="5211B300" w:rsidR="00843EF6" w:rsidRPr="00B14BC1" w:rsidRDefault="00843EF6" w:rsidP="00843EF6">
            <w:pPr>
              <w:pStyle w:val="TableBodyCopy"/>
            </w:pPr>
            <w:r w:rsidRPr="00843EF6">
              <w:t>A</w:t>
            </w:r>
          </w:p>
        </w:tc>
      </w:tr>
      <w:tr w:rsidR="00843EF6" w:rsidRPr="00AA0AEF" w14:paraId="4878DE7C" w14:textId="5C5D441F" w:rsidTr="00843EF6">
        <w:trPr>
          <w:trHeight w:val="333"/>
        </w:trPr>
        <w:tc>
          <w:tcPr>
            <w:tcW w:w="4111" w:type="dxa"/>
            <w:shd w:val="clear" w:color="auto" w:fill="EAEAEA" w:themeFill="text1" w:themeFillTint="1A"/>
            <w:vAlign w:val="center"/>
          </w:tcPr>
          <w:p w14:paraId="51E77088" w14:textId="6C7AFDB5" w:rsidR="00843EF6" w:rsidRPr="007B7344" w:rsidRDefault="00843EF6" w:rsidP="00843EF6">
            <w:pPr>
              <w:pStyle w:val="TableBodyCopy"/>
            </w:pPr>
            <w:r w:rsidRPr="002F6A3E">
              <w:t>AGENCE FRANCE LOCALE 3.125000% 03/20/2034</w:t>
            </w:r>
          </w:p>
        </w:tc>
        <w:tc>
          <w:tcPr>
            <w:tcW w:w="1276" w:type="dxa"/>
            <w:shd w:val="clear" w:color="auto" w:fill="EAEAEA" w:themeFill="text1" w:themeFillTint="1A"/>
            <w:vAlign w:val="center"/>
          </w:tcPr>
          <w:p w14:paraId="36D4F224" w14:textId="4B51DDC9" w:rsidR="00843EF6" w:rsidRPr="00CA1E6D" w:rsidRDefault="00843EF6" w:rsidP="00843EF6">
            <w:pPr>
              <w:pStyle w:val="TableBodyCopy"/>
            </w:pPr>
            <w:r w:rsidRPr="0082514F">
              <w:t>1.37%</w:t>
            </w:r>
          </w:p>
        </w:tc>
        <w:tc>
          <w:tcPr>
            <w:tcW w:w="2126" w:type="dxa"/>
            <w:shd w:val="clear" w:color="auto" w:fill="EAEAEA" w:themeFill="text1" w:themeFillTint="1A"/>
            <w:vAlign w:val="center"/>
          </w:tcPr>
          <w:p w14:paraId="225A15AA" w14:textId="0A4141EE"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74FDD247" w14:textId="7CFAC528" w:rsidR="00843EF6" w:rsidRPr="00270D02" w:rsidRDefault="00843EF6" w:rsidP="00843EF6">
            <w:pPr>
              <w:pStyle w:val="TableBodyCopy"/>
            </w:pPr>
            <w:r w:rsidRPr="00F410BF">
              <w:t>France</w:t>
            </w:r>
          </w:p>
        </w:tc>
        <w:tc>
          <w:tcPr>
            <w:tcW w:w="1276" w:type="dxa"/>
            <w:shd w:val="clear" w:color="auto" w:fill="EAEAEA" w:themeFill="text1" w:themeFillTint="1A"/>
            <w:vAlign w:val="center"/>
          </w:tcPr>
          <w:p w14:paraId="010B4CCE" w14:textId="63FDD694" w:rsidR="00843EF6" w:rsidRPr="00B14BC1" w:rsidRDefault="00843EF6" w:rsidP="00843EF6">
            <w:pPr>
              <w:pStyle w:val="TableBodyCopy"/>
            </w:pPr>
            <w:r w:rsidRPr="00843EF6">
              <w:t>AA</w:t>
            </w:r>
          </w:p>
        </w:tc>
      </w:tr>
      <w:tr w:rsidR="00843EF6" w:rsidRPr="00AA0AEF" w14:paraId="61E79567" w14:textId="5CFF0C28" w:rsidTr="00843EF6">
        <w:trPr>
          <w:trHeight w:val="369"/>
        </w:trPr>
        <w:tc>
          <w:tcPr>
            <w:tcW w:w="4111" w:type="dxa"/>
            <w:shd w:val="clear" w:color="auto" w:fill="EAEAEA" w:themeFill="text1" w:themeFillTint="1A"/>
            <w:vAlign w:val="center"/>
          </w:tcPr>
          <w:p w14:paraId="4220913E" w14:textId="29AA1179" w:rsidR="00843EF6" w:rsidRPr="007B7344" w:rsidRDefault="00843EF6" w:rsidP="00843EF6">
            <w:pPr>
              <w:pStyle w:val="TableBodyCopy"/>
            </w:pPr>
            <w:r w:rsidRPr="002F6A3E">
              <w:t>BRITISH COLUMBIA PROV OF 4.150000% 06/18/2034</w:t>
            </w:r>
          </w:p>
        </w:tc>
        <w:tc>
          <w:tcPr>
            <w:tcW w:w="1276" w:type="dxa"/>
            <w:shd w:val="clear" w:color="auto" w:fill="EAEAEA" w:themeFill="text1" w:themeFillTint="1A"/>
            <w:vAlign w:val="center"/>
          </w:tcPr>
          <w:p w14:paraId="7670C9A4" w14:textId="2C2C21D4" w:rsidR="00843EF6" w:rsidRPr="00CA1E6D" w:rsidRDefault="00843EF6" w:rsidP="00843EF6">
            <w:pPr>
              <w:pStyle w:val="TableBodyCopy"/>
            </w:pPr>
            <w:r w:rsidRPr="0082514F">
              <w:t>1.3</w:t>
            </w:r>
            <w:r w:rsidR="00365D61">
              <w:t>6</w:t>
            </w:r>
            <w:r w:rsidRPr="0082514F">
              <w:t>%</w:t>
            </w:r>
          </w:p>
        </w:tc>
        <w:tc>
          <w:tcPr>
            <w:tcW w:w="2126" w:type="dxa"/>
            <w:shd w:val="clear" w:color="auto" w:fill="EAEAEA" w:themeFill="text1" w:themeFillTint="1A"/>
            <w:vAlign w:val="center"/>
          </w:tcPr>
          <w:p w14:paraId="5FF49BC7" w14:textId="01FE708E"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4608FD3B" w14:textId="02A2EAD7" w:rsidR="00843EF6" w:rsidRPr="00270D02" w:rsidRDefault="00843EF6" w:rsidP="00843EF6">
            <w:pPr>
              <w:pStyle w:val="TableBodyCopy"/>
            </w:pPr>
            <w:r w:rsidRPr="00F410BF">
              <w:t>Canada</w:t>
            </w:r>
          </w:p>
        </w:tc>
        <w:tc>
          <w:tcPr>
            <w:tcW w:w="1276" w:type="dxa"/>
            <w:shd w:val="clear" w:color="auto" w:fill="EAEAEA" w:themeFill="text1" w:themeFillTint="1A"/>
            <w:vAlign w:val="center"/>
          </w:tcPr>
          <w:p w14:paraId="3F8248AD" w14:textId="40C793BA" w:rsidR="00843EF6" w:rsidRPr="00B14BC1" w:rsidRDefault="00843EF6" w:rsidP="00843EF6">
            <w:pPr>
              <w:pStyle w:val="TableBodyCopy"/>
            </w:pPr>
            <w:r w:rsidRPr="00843EF6">
              <w:t>AA</w:t>
            </w:r>
          </w:p>
        </w:tc>
      </w:tr>
      <w:tr w:rsidR="00843EF6" w:rsidRPr="00AA0AEF" w14:paraId="712D0BD8" w14:textId="68B86067" w:rsidTr="00843EF6">
        <w:trPr>
          <w:trHeight w:val="369"/>
        </w:trPr>
        <w:tc>
          <w:tcPr>
            <w:tcW w:w="4111" w:type="dxa"/>
            <w:shd w:val="clear" w:color="auto" w:fill="EAEAEA" w:themeFill="text1" w:themeFillTint="1A"/>
            <w:vAlign w:val="center"/>
          </w:tcPr>
          <w:p w14:paraId="24908726" w14:textId="021F1328" w:rsidR="00843EF6" w:rsidRPr="007B7344" w:rsidRDefault="00843EF6" w:rsidP="00843EF6">
            <w:pPr>
              <w:pStyle w:val="TableBodyCopy"/>
            </w:pPr>
            <w:r w:rsidRPr="002F6A3E">
              <w:t>Cash (AUD) held in the underlying fund</w:t>
            </w:r>
          </w:p>
        </w:tc>
        <w:tc>
          <w:tcPr>
            <w:tcW w:w="1276" w:type="dxa"/>
            <w:shd w:val="clear" w:color="auto" w:fill="EAEAEA" w:themeFill="text1" w:themeFillTint="1A"/>
            <w:vAlign w:val="center"/>
          </w:tcPr>
          <w:p w14:paraId="579D8196" w14:textId="026F5DA8" w:rsidR="00843EF6" w:rsidRPr="00DD6108" w:rsidRDefault="00843EF6" w:rsidP="00843EF6">
            <w:pPr>
              <w:pStyle w:val="TableBodyCopy"/>
            </w:pPr>
            <w:r w:rsidRPr="0082514F">
              <w:t>1.24%</w:t>
            </w:r>
          </w:p>
        </w:tc>
        <w:tc>
          <w:tcPr>
            <w:tcW w:w="2126" w:type="dxa"/>
            <w:shd w:val="clear" w:color="auto" w:fill="EAEAEA" w:themeFill="text1" w:themeFillTint="1A"/>
            <w:vAlign w:val="center"/>
          </w:tcPr>
          <w:p w14:paraId="50814DF4" w14:textId="2F6421CE" w:rsidR="00843EF6" w:rsidRPr="007D3AC9" w:rsidRDefault="00843EF6" w:rsidP="00843EF6">
            <w:pPr>
              <w:pStyle w:val="TableBodyCopy"/>
            </w:pPr>
            <w:r w:rsidRPr="00572AE8">
              <w:t>Cash and cash equivalents</w:t>
            </w:r>
          </w:p>
        </w:tc>
        <w:tc>
          <w:tcPr>
            <w:tcW w:w="1418" w:type="dxa"/>
            <w:shd w:val="clear" w:color="auto" w:fill="EAEAEA" w:themeFill="text1" w:themeFillTint="1A"/>
            <w:vAlign w:val="center"/>
          </w:tcPr>
          <w:p w14:paraId="0B986A27" w14:textId="076428BB" w:rsidR="00843EF6" w:rsidRPr="00270D02" w:rsidRDefault="00843EF6" w:rsidP="00843EF6">
            <w:pPr>
              <w:pStyle w:val="TableBodyCopy"/>
            </w:pPr>
            <w:r>
              <w:t>Australia</w:t>
            </w:r>
          </w:p>
        </w:tc>
        <w:tc>
          <w:tcPr>
            <w:tcW w:w="1276" w:type="dxa"/>
            <w:shd w:val="clear" w:color="auto" w:fill="EAEAEA" w:themeFill="text1" w:themeFillTint="1A"/>
            <w:vAlign w:val="center"/>
          </w:tcPr>
          <w:p w14:paraId="04574655" w14:textId="19950152" w:rsidR="00843EF6" w:rsidRPr="00B14BC1" w:rsidRDefault="00843EF6" w:rsidP="00843EF6">
            <w:pPr>
              <w:pStyle w:val="TableBodyCopy"/>
            </w:pPr>
          </w:p>
        </w:tc>
      </w:tr>
      <w:tr w:rsidR="00843EF6" w:rsidRPr="00AA0AEF" w14:paraId="2FD2B49C" w14:textId="1D2C2891" w:rsidTr="00843EF6">
        <w:trPr>
          <w:trHeight w:val="369"/>
        </w:trPr>
        <w:tc>
          <w:tcPr>
            <w:tcW w:w="4111" w:type="dxa"/>
            <w:shd w:val="clear" w:color="auto" w:fill="EAEAEA" w:themeFill="text1" w:themeFillTint="1A"/>
            <w:vAlign w:val="center"/>
          </w:tcPr>
          <w:p w14:paraId="50AC8699" w14:textId="00576BE7" w:rsidR="00843EF6" w:rsidRPr="007B7344" w:rsidRDefault="00843EF6" w:rsidP="00843EF6">
            <w:pPr>
              <w:pStyle w:val="TableBodyCopy"/>
            </w:pPr>
            <w:r w:rsidRPr="002F6A3E">
              <w:t>SIEMENS FINANCIERINGSMAT 2.875000% 03/11/2041</w:t>
            </w:r>
          </w:p>
        </w:tc>
        <w:tc>
          <w:tcPr>
            <w:tcW w:w="1276" w:type="dxa"/>
            <w:shd w:val="clear" w:color="auto" w:fill="EAEAEA" w:themeFill="text1" w:themeFillTint="1A"/>
            <w:vAlign w:val="center"/>
          </w:tcPr>
          <w:p w14:paraId="05B4865C" w14:textId="1C4705E0" w:rsidR="00843EF6" w:rsidRPr="00DD6108" w:rsidRDefault="00843EF6" w:rsidP="00843EF6">
            <w:pPr>
              <w:pStyle w:val="TableBodyCopy"/>
            </w:pPr>
            <w:r w:rsidRPr="0082514F">
              <w:t>0.96%</w:t>
            </w:r>
          </w:p>
        </w:tc>
        <w:tc>
          <w:tcPr>
            <w:tcW w:w="2126" w:type="dxa"/>
            <w:shd w:val="clear" w:color="auto" w:fill="EAEAEA" w:themeFill="text1" w:themeFillTint="1A"/>
            <w:vAlign w:val="center"/>
          </w:tcPr>
          <w:p w14:paraId="799324AD" w14:textId="4B0B2EB9"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1CF2F5F7" w14:textId="7A75407B" w:rsidR="00843EF6" w:rsidRPr="00270D02" w:rsidRDefault="00843EF6" w:rsidP="00843EF6">
            <w:pPr>
              <w:pStyle w:val="TableBodyCopy"/>
            </w:pPr>
            <w:r w:rsidRPr="00F410BF">
              <w:t>Germany</w:t>
            </w:r>
          </w:p>
        </w:tc>
        <w:tc>
          <w:tcPr>
            <w:tcW w:w="1276" w:type="dxa"/>
            <w:shd w:val="clear" w:color="auto" w:fill="EAEAEA" w:themeFill="text1" w:themeFillTint="1A"/>
            <w:vAlign w:val="center"/>
          </w:tcPr>
          <w:p w14:paraId="421CF6C0" w14:textId="63FC204F" w:rsidR="00843EF6" w:rsidRPr="00B14BC1" w:rsidRDefault="00843EF6" w:rsidP="00843EF6">
            <w:pPr>
              <w:pStyle w:val="TableBodyCopy"/>
            </w:pPr>
            <w:r w:rsidRPr="00843EF6">
              <w:t>AA</w:t>
            </w:r>
          </w:p>
        </w:tc>
      </w:tr>
      <w:tr w:rsidR="00843EF6" w:rsidRPr="00AA0AEF" w14:paraId="3107AA27" w14:textId="11940410" w:rsidTr="00843EF6">
        <w:trPr>
          <w:trHeight w:val="369"/>
        </w:trPr>
        <w:tc>
          <w:tcPr>
            <w:tcW w:w="4111" w:type="dxa"/>
            <w:shd w:val="clear" w:color="auto" w:fill="EAEAEA" w:themeFill="text1" w:themeFillTint="1A"/>
            <w:vAlign w:val="center"/>
          </w:tcPr>
          <w:p w14:paraId="51A13885" w14:textId="27054C92" w:rsidR="00843EF6" w:rsidRPr="007B7344" w:rsidRDefault="00843EF6" w:rsidP="00843EF6">
            <w:pPr>
              <w:pStyle w:val="TableBodyCopy"/>
            </w:pPr>
            <w:r w:rsidRPr="002F6A3E">
              <w:t>TREASURY CORP VICTORIA 2.000000% 11/20/2037</w:t>
            </w:r>
          </w:p>
        </w:tc>
        <w:tc>
          <w:tcPr>
            <w:tcW w:w="1276" w:type="dxa"/>
            <w:shd w:val="clear" w:color="auto" w:fill="EAEAEA" w:themeFill="text1" w:themeFillTint="1A"/>
            <w:vAlign w:val="center"/>
          </w:tcPr>
          <w:p w14:paraId="31021F55" w14:textId="39F75A52" w:rsidR="00843EF6" w:rsidRPr="00DD6108" w:rsidRDefault="00843EF6" w:rsidP="00843EF6">
            <w:pPr>
              <w:pStyle w:val="TableBodyCopy"/>
            </w:pPr>
            <w:r w:rsidRPr="0082514F">
              <w:t>0.91%</w:t>
            </w:r>
          </w:p>
        </w:tc>
        <w:tc>
          <w:tcPr>
            <w:tcW w:w="2126" w:type="dxa"/>
            <w:shd w:val="clear" w:color="auto" w:fill="EAEAEA" w:themeFill="text1" w:themeFillTint="1A"/>
            <w:vAlign w:val="center"/>
          </w:tcPr>
          <w:p w14:paraId="3978D1A0" w14:textId="4F2E0DBA" w:rsidR="00843EF6" w:rsidRPr="007D3AC9" w:rsidRDefault="00843EF6" w:rsidP="00843EF6">
            <w:pPr>
              <w:pStyle w:val="TableBodyCopy"/>
            </w:pPr>
            <w:r w:rsidRPr="00572AE8">
              <w:t>International fixed interest</w:t>
            </w:r>
          </w:p>
        </w:tc>
        <w:tc>
          <w:tcPr>
            <w:tcW w:w="1418" w:type="dxa"/>
            <w:shd w:val="clear" w:color="auto" w:fill="EAEAEA" w:themeFill="text1" w:themeFillTint="1A"/>
            <w:vAlign w:val="center"/>
          </w:tcPr>
          <w:p w14:paraId="6B0EC77B" w14:textId="15D2B113" w:rsidR="00843EF6" w:rsidRPr="00270D02" w:rsidRDefault="00843EF6" w:rsidP="00843EF6">
            <w:pPr>
              <w:pStyle w:val="TableBodyCopy"/>
            </w:pPr>
            <w:r w:rsidRPr="00F410BF">
              <w:t>Australia</w:t>
            </w:r>
          </w:p>
        </w:tc>
        <w:tc>
          <w:tcPr>
            <w:tcW w:w="1276" w:type="dxa"/>
            <w:shd w:val="clear" w:color="auto" w:fill="EAEAEA" w:themeFill="text1" w:themeFillTint="1A"/>
            <w:vAlign w:val="center"/>
          </w:tcPr>
          <w:p w14:paraId="766C906F" w14:textId="5A705DF3" w:rsidR="00843EF6" w:rsidRPr="00B14BC1" w:rsidRDefault="00843EF6" w:rsidP="00843EF6">
            <w:pPr>
              <w:pStyle w:val="TableBodyCopy"/>
            </w:pPr>
            <w:r w:rsidRPr="00843EF6">
              <w:t>AA</w:t>
            </w:r>
          </w:p>
        </w:tc>
      </w:tr>
      <w:tr w:rsidR="00843EF6" w:rsidRPr="00AA0AEF" w14:paraId="252EFC19" w14:textId="6B30F68F" w:rsidTr="00843EF6">
        <w:trPr>
          <w:trHeight w:val="369"/>
        </w:trPr>
        <w:tc>
          <w:tcPr>
            <w:tcW w:w="4111" w:type="dxa"/>
            <w:tcBorders>
              <w:bottom w:val="single" w:sz="8" w:space="0" w:color="FFFFFF" w:themeColor="background1"/>
            </w:tcBorders>
            <w:shd w:val="clear" w:color="auto" w:fill="EAEAEA" w:themeFill="text1" w:themeFillTint="1A"/>
            <w:vAlign w:val="center"/>
          </w:tcPr>
          <w:p w14:paraId="4C42971D" w14:textId="5C5CA20D" w:rsidR="00843EF6" w:rsidRPr="007B7344" w:rsidRDefault="00843EF6" w:rsidP="00843EF6">
            <w:pPr>
              <w:pStyle w:val="TableBodyCopy"/>
            </w:pPr>
            <w:r w:rsidRPr="002F6A3E">
              <w:t>CAISSE DES DEPOTS ET CON 3.125000% 05/25/2035</w:t>
            </w:r>
          </w:p>
        </w:tc>
        <w:tc>
          <w:tcPr>
            <w:tcW w:w="1276" w:type="dxa"/>
            <w:tcBorders>
              <w:bottom w:val="single" w:sz="8" w:space="0" w:color="FFFFFF" w:themeColor="background1"/>
            </w:tcBorders>
            <w:shd w:val="clear" w:color="auto" w:fill="EAEAEA" w:themeFill="text1" w:themeFillTint="1A"/>
            <w:vAlign w:val="center"/>
          </w:tcPr>
          <w:p w14:paraId="31AC1E3C" w14:textId="7B4AFF77" w:rsidR="00843EF6" w:rsidRPr="00DD6108" w:rsidRDefault="00843EF6" w:rsidP="00843EF6">
            <w:pPr>
              <w:pStyle w:val="TableBodyCopy"/>
            </w:pPr>
            <w:r w:rsidRPr="0082514F">
              <w:t>0.</w:t>
            </w:r>
            <w:r w:rsidR="00A225C7">
              <w:t>90</w:t>
            </w:r>
            <w:r w:rsidRPr="0082514F">
              <w:t>%</w:t>
            </w:r>
          </w:p>
        </w:tc>
        <w:tc>
          <w:tcPr>
            <w:tcW w:w="2126" w:type="dxa"/>
            <w:tcBorders>
              <w:bottom w:val="single" w:sz="8" w:space="0" w:color="FFFFFF" w:themeColor="background1"/>
            </w:tcBorders>
            <w:shd w:val="clear" w:color="auto" w:fill="EAEAEA" w:themeFill="text1" w:themeFillTint="1A"/>
            <w:vAlign w:val="center"/>
          </w:tcPr>
          <w:p w14:paraId="3310B073" w14:textId="0238B8AE" w:rsidR="00843EF6" w:rsidRPr="007D3AC9" w:rsidRDefault="00843EF6" w:rsidP="00843EF6">
            <w:pPr>
              <w:pStyle w:val="TableBodyCopy"/>
            </w:pPr>
            <w:r w:rsidRPr="00572AE8">
              <w:t>International fixed interest</w:t>
            </w:r>
          </w:p>
        </w:tc>
        <w:tc>
          <w:tcPr>
            <w:tcW w:w="1418" w:type="dxa"/>
            <w:tcBorders>
              <w:bottom w:val="single" w:sz="8" w:space="0" w:color="FFFFFF" w:themeColor="background1"/>
            </w:tcBorders>
            <w:shd w:val="clear" w:color="auto" w:fill="EAEAEA" w:themeFill="text1" w:themeFillTint="1A"/>
            <w:vAlign w:val="center"/>
          </w:tcPr>
          <w:p w14:paraId="224DFEA6" w14:textId="7E861A2E" w:rsidR="00843EF6" w:rsidRPr="00572AE8" w:rsidRDefault="00843EF6" w:rsidP="00843EF6">
            <w:pPr>
              <w:pStyle w:val="TableBodyCopy"/>
            </w:pPr>
            <w:r w:rsidRPr="00F410BF">
              <w:t>France</w:t>
            </w:r>
          </w:p>
        </w:tc>
        <w:tc>
          <w:tcPr>
            <w:tcW w:w="1276" w:type="dxa"/>
            <w:tcBorders>
              <w:bottom w:val="single" w:sz="8" w:space="0" w:color="FFFFFF" w:themeColor="background1"/>
            </w:tcBorders>
            <w:shd w:val="clear" w:color="auto" w:fill="EAEAEA" w:themeFill="text1" w:themeFillTint="1A"/>
            <w:vAlign w:val="center"/>
          </w:tcPr>
          <w:p w14:paraId="506FC39C" w14:textId="27ABB5A8" w:rsidR="00843EF6" w:rsidRPr="00B14BC1" w:rsidRDefault="00843EF6" w:rsidP="00843EF6">
            <w:pPr>
              <w:pStyle w:val="TableBodyCopy"/>
            </w:pPr>
            <w:r w:rsidRPr="00843EF6">
              <w:t>AA</w:t>
            </w:r>
          </w:p>
        </w:tc>
      </w:tr>
      <w:tr w:rsidR="00F410BF" w:rsidRPr="00AA0AEF" w14:paraId="2A8047E4" w14:textId="4E4A6323" w:rsidTr="00843EF6">
        <w:trPr>
          <w:trHeight w:val="369"/>
        </w:trPr>
        <w:tc>
          <w:tcPr>
            <w:tcW w:w="4111" w:type="dxa"/>
            <w:tcBorders>
              <w:top w:val="single" w:sz="8" w:space="0" w:color="FFFFFF" w:themeColor="background1"/>
              <w:bottom w:val="single" w:sz="8" w:space="0" w:color="006652" w:themeColor="accent1"/>
            </w:tcBorders>
            <w:shd w:val="clear" w:color="auto" w:fill="EAEAEA" w:themeFill="text1" w:themeFillTint="1A"/>
            <w:vAlign w:val="center"/>
          </w:tcPr>
          <w:p w14:paraId="004E8B7D" w14:textId="4F3B8BB2" w:rsidR="00F410BF" w:rsidRPr="002F6A3E" w:rsidRDefault="00F410BF" w:rsidP="00F410BF">
            <w:pPr>
              <w:pStyle w:val="TableBodyCopy"/>
              <w:rPr>
                <w:rFonts w:ascii="Calibri" w:hAnsi="Calibri" w:cs="Calibri"/>
                <w:color w:val="000000"/>
                <w:sz w:val="22"/>
                <w:szCs w:val="22"/>
              </w:rPr>
            </w:pPr>
            <w:r w:rsidRPr="002F6A3E">
              <w:t>PROVINCE OF QUEBEC 4.450000% 09/01/2034</w:t>
            </w:r>
          </w:p>
        </w:tc>
        <w:tc>
          <w:tcPr>
            <w:tcW w:w="1276" w:type="dxa"/>
            <w:tcBorders>
              <w:top w:val="single" w:sz="8" w:space="0" w:color="FFFFFF" w:themeColor="background1"/>
              <w:bottom w:val="single" w:sz="8" w:space="0" w:color="006652" w:themeColor="accent1"/>
            </w:tcBorders>
            <w:shd w:val="clear" w:color="auto" w:fill="EAEAEA" w:themeFill="text1" w:themeFillTint="1A"/>
            <w:vAlign w:val="center"/>
          </w:tcPr>
          <w:p w14:paraId="6049EAD0" w14:textId="7115FC30" w:rsidR="00F410BF" w:rsidRPr="00617AD6" w:rsidRDefault="00F410BF" w:rsidP="00F410BF">
            <w:pPr>
              <w:pStyle w:val="TableBodyCopy"/>
            </w:pPr>
            <w:r w:rsidRPr="00617AD6">
              <w:t>0.</w:t>
            </w:r>
            <w:r>
              <w:t>89</w:t>
            </w:r>
            <w:r w:rsidRPr="00617AD6">
              <w:t>%</w:t>
            </w:r>
          </w:p>
        </w:tc>
        <w:tc>
          <w:tcPr>
            <w:tcW w:w="2126" w:type="dxa"/>
            <w:tcBorders>
              <w:top w:val="single" w:sz="8" w:space="0" w:color="FFFFFF" w:themeColor="background1"/>
              <w:bottom w:val="single" w:sz="8" w:space="0" w:color="006652" w:themeColor="accent1"/>
            </w:tcBorders>
            <w:shd w:val="clear" w:color="auto" w:fill="EAEAEA" w:themeFill="text1" w:themeFillTint="1A"/>
            <w:vAlign w:val="center"/>
          </w:tcPr>
          <w:p w14:paraId="0EC21472" w14:textId="6D63647E" w:rsidR="00F410BF" w:rsidRPr="007D3AC9" w:rsidRDefault="00F410BF" w:rsidP="00F410BF">
            <w:pPr>
              <w:pStyle w:val="TableBodyCopy"/>
            </w:pPr>
            <w:r w:rsidRPr="00617AD6">
              <w:t>International fixed interest</w:t>
            </w:r>
          </w:p>
        </w:tc>
        <w:tc>
          <w:tcPr>
            <w:tcW w:w="1418" w:type="dxa"/>
            <w:tcBorders>
              <w:top w:val="single" w:sz="8" w:space="0" w:color="FFFFFF" w:themeColor="background1"/>
              <w:bottom w:val="single" w:sz="8" w:space="0" w:color="006652" w:themeColor="accent1"/>
            </w:tcBorders>
            <w:shd w:val="clear" w:color="auto" w:fill="EAEAEA" w:themeFill="text1" w:themeFillTint="1A"/>
            <w:vAlign w:val="center"/>
          </w:tcPr>
          <w:p w14:paraId="469703F9" w14:textId="2367E4A3" w:rsidR="00F410BF" w:rsidRPr="00617AD6" w:rsidRDefault="00F410BF" w:rsidP="00F410BF">
            <w:pPr>
              <w:pStyle w:val="TableBodyCopy"/>
            </w:pPr>
            <w:r w:rsidRPr="00F410BF">
              <w:t>Canada</w:t>
            </w:r>
          </w:p>
        </w:tc>
        <w:tc>
          <w:tcPr>
            <w:tcW w:w="1276" w:type="dxa"/>
            <w:tcBorders>
              <w:top w:val="single" w:sz="8" w:space="0" w:color="FFFFFF" w:themeColor="background1"/>
              <w:bottom w:val="single" w:sz="8" w:space="0" w:color="006652" w:themeColor="accent1"/>
            </w:tcBorders>
            <w:shd w:val="clear" w:color="auto" w:fill="EAEAEA" w:themeFill="text1" w:themeFillTint="1A"/>
            <w:vAlign w:val="center"/>
          </w:tcPr>
          <w:p w14:paraId="16CA13AE" w14:textId="68091986" w:rsidR="00F410BF" w:rsidRPr="00B14BC1" w:rsidRDefault="00F410BF" w:rsidP="00843EF6">
            <w:pPr>
              <w:pStyle w:val="TableBodyCopy"/>
            </w:pPr>
            <w:r w:rsidRPr="0054661E">
              <w:t>AA</w:t>
            </w:r>
          </w:p>
        </w:tc>
      </w:tr>
    </w:tbl>
    <w:p w14:paraId="0E56970B" w14:textId="69790171" w:rsidR="0096425E" w:rsidRDefault="0096425E" w:rsidP="008675ED">
      <w:pPr>
        <w:rPr>
          <w:rFonts w:cs="Segoe UI Light"/>
        </w:rPr>
      </w:pPr>
    </w:p>
    <w:p w14:paraId="623942E3" w14:textId="49476764" w:rsidR="0030453D" w:rsidRDefault="005D5E28" w:rsidP="008675ED">
      <w:pPr>
        <w:rPr>
          <w:rFonts w:cs="Segoe UI Light"/>
        </w:rPr>
      </w:pPr>
      <w:r>
        <w:rPr>
          <w:rFonts w:cs="Segoe UI Light"/>
        </w:rPr>
        <w:t xml:space="preserve">The top 10 investments </w:t>
      </w:r>
      <w:r w:rsidRPr="00DA60E9">
        <w:rPr>
          <w:rFonts w:cs="Segoe UI Light"/>
        </w:rPr>
        <w:t xml:space="preserve">make up </w:t>
      </w:r>
      <w:r w:rsidR="00023E7A">
        <w:rPr>
          <w:rFonts w:ascii="Segoe UI Semibold" w:hAnsi="Segoe UI Semibold" w:cs="Segoe UI Semibold"/>
        </w:rPr>
        <w:t>12</w:t>
      </w:r>
      <w:r w:rsidR="00617AD6">
        <w:rPr>
          <w:rFonts w:ascii="Segoe UI Semibold" w:hAnsi="Segoe UI Semibold" w:cs="Segoe UI Semibold"/>
        </w:rPr>
        <w:t>.</w:t>
      </w:r>
      <w:r w:rsidR="002866F9">
        <w:rPr>
          <w:rFonts w:ascii="Segoe UI Semibold" w:hAnsi="Segoe UI Semibold" w:cs="Segoe UI Semibold"/>
        </w:rPr>
        <w:t>62</w:t>
      </w:r>
      <w:r w:rsidR="00732843" w:rsidRPr="00DA7DFD">
        <w:rPr>
          <w:rFonts w:ascii="Segoe UI Semibold" w:hAnsi="Segoe UI Semibold" w:cs="Segoe UI Semibold"/>
        </w:rPr>
        <w:t>%</w:t>
      </w:r>
      <w:r w:rsidR="00732843" w:rsidRPr="00732843">
        <w:rPr>
          <w:rFonts w:ascii="Segoe UI Semibold" w:hAnsi="Segoe UI Semibold" w:cs="Segoe UI Semibold"/>
        </w:rPr>
        <w:t xml:space="preserve"> </w:t>
      </w:r>
      <w:r>
        <w:rPr>
          <w:rFonts w:cs="Segoe UI Light"/>
        </w:rPr>
        <w:t xml:space="preserve">of the </w:t>
      </w:r>
      <w:r w:rsidR="00863091">
        <w:rPr>
          <w:rFonts w:cs="Segoe UI Light"/>
        </w:rPr>
        <w:t>F</w:t>
      </w:r>
      <w:r>
        <w:rPr>
          <w:rFonts w:cs="Segoe UI Light"/>
        </w:rPr>
        <w:t>und</w:t>
      </w:r>
      <w:r w:rsidR="00DB181E">
        <w:rPr>
          <w:rFonts w:cs="Segoe UI Light"/>
        </w:rPr>
        <w:t>’s net asset value</w:t>
      </w:r>
      <w:r>
        <w:rPr>
          <w:rFonts w:cs="Segoe UI Light"/>
        </w:rPr>
        <w:t>.</w:t>
      </w:r>
    </w:p>
    <w:p w14:paraId="54B4A670" w14:textId="7C01BFA0" w:rsidR="00304909" w:rsidRDefault="00304909">
      <w:r>
        <w:br w:type="page"/>
      </w:r>
    </w:p>
    <w:p w14:paraId="4493B7F7" w14:textId="51CD86AE" w:rsidR="006E7142" w:rsidRPr="00947CAA" w:rsidRDefault="000564F1" w:rsidP="00EC522F">
      <w:pPr>
        <w:pStyle w:val="Heading3EV"/>
      </w:pPr>
      <w:r w:rsidRPr="00947CAA">
        <w:lastRenderedPageBreak/>
        <w:t xml:space="preserve">Key </w:t>
      </w:r>
      <w:r w:rsidR="006E7142" w:rsidRPr="00947CAA">
        <w:t>personnel</w:t>
      </w:r>
    </w:p>
    <w:p w14:paraId="7EF54E5B" w14:textId="1DB581D1" w:rsidR="0080222A" w:rsidRPr="0080222A" w:rsidRDefault="0080222A" w:rsidP="008675ED">
      <w:pPr>
        <w:rPr>
          <w:rFonts w:cs="Segoe UI Light"/>
        </w:rPr>
      </w:pPr>
      <w:r w:rsidRPr="0080222A">
        <w:rPr>
          <w:rFonts w:cs="Segoe UI Light"/>
        </w:rPr>
        <w:t xml:space="preserve">This shows the directors and employees who have the most influence on the investment decisions of the </w:t>
      </w:r>
      <w:r w:rsidR="00866A73">
        <w:rPr>
          <w:rFonts w:cs="Segoe UI Light"/>
        </w:rPr>
        <w:t>F</w:t>
      </w:r>
      <w:r w:rsidRPr="0080222A">
        <w:rPr>
          <w:rFonts w:cs="Segoe UI Light"/>
        </w:rPr>
        <w:t>und.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560"/>
        <w:gridCol w:w="2409"/>
        <w:gridCol w:w="1843"/>
        <w:gridCol w:w="2126"/>
        <w:gridCol w:w="1985"/>
      </w:tblGrid>
      <w:tr w:rsidR="000160A4" w:rsidRPr="005808F5" w14:paraId="427DD277" w14:textId="77777777" w:rsidTr="001401E7">
        <w:trPr>
          <w:trHeight w:val="624"/>
        </w:trPr>
        <w:tc>
          <w:tcPr>
            <w:tcW w:w="1560" w:type="dxa"/>
            <w:shd w:val="clear" w:color="auto" w:fill="006652" w:themeFill="accent1"/>
          </w:tcPr>
          <w:p w14:paraId="0D365BAB" w14:textId="35C947DB" w:rsidR="00AA7962" w:rsidRPr="00D4337A" w:rsidRDefault="00AA7962" w:rsidP="008675ED">
            <w:pPr>
              <w:rPr>
                <w:rFonts w:asciiTheme="minorHAnsi" w:hAnsiTheme="minorHAnsi" w:cstheme="minorHAnsi"/>
                <w:color w:val="FFFFFF" w:themeColor="background1"/>
                <w:sz w:val="17"/>
                <w:szCs w:val="17"/>
              </w:rPr>
            </w:pPr>
            <w:r w:rsidRPr="00D4337A">
              <w:rPr>
                <w:rFonts w:asciiTheme="minorHAnsi" w:hAnsiTheme="minorHAnsi" w:cstheme="minorHAnsi"/>
                <w:color w:val="FFFFFF" w:themeColor="background1"/>
                <w:sz w:val="17"/>
                <w:szCs w:val="17"/>
              </w:rPr>
              <w:t>Name</w:t>
            </w:r>
          </w:p>
        </w:tc>
        <w:tc>
          <w:tcPr>
            <w:tcW w:w="2409" w:type="dxa"/>
            <w:shd w:val="clear" w:color="auto" w:fill="006652" w:themeFill="accent1"/>
          </w:tcPr>
          <w:p w14:paraId="79675E53" w14:textId="34B3E3B6" w:rsidR="00AA7962" w:rsidRPr="00D4337A" w:rsidRDefault="00AA7962" w:rsidP="008675ED">
            <w:pPr>
              <w:rPr>
                <w:rFonts w:asciiTheme="minorHAnsi" w:hAnsiTheme="minorHAnsi" w:cstheme="minorHAnsi"/>
                <w:color w:val="FFFFFF" w:themeColor="background1"/>
                <w:sz w:val="17"/>
                <w:szCs w:val="17"/>
              </w:rPr>
            </w:pPr>
            <w:r w:rsidRPr="00D4337A">
              <w:rPr>
                <w:rFonts w:asciiTheme="minorHAnsi" w:hAnsiTheme="minorHAnsi" w:cstheme="minorHAnsi"/>
                <w:color w:val="FFFFFF" w:themeColor="background1"/>
                <w:sz w:val="17"/>
                <w:szCs w:val="17"/>
              </w:rPr>
              <w:t>Current position</w:t>
            </w:r>
          </w:p>
        </w:tc>
        <w:tc>
          <w:tcPr>
            <w:tcW w:w="1843" w:type="dxa"/>
            <w:shd w:val="clear" w:color="auto" w:fill="006652" w:themeFill="accent1"/>
          </w:tcPr>
          <w:p w14:paraId="0D9A80A1" w14:textId="44D34BC6" w:rsidR="00AA7962" w:rsidRPr="00D4337A" w:rsidRDefault="00AA7962" w:rsidP="008675ED">
            <w:pPr>
              <w:rPr>
                <w:rFonts w:asciiTheme="minorHAnsi" w:hAnsiTheme="minorHAnsi" w:cstheme="minorHAnsi"/>
                <w:color w:val="FFFFFF" w:themeColor="background1"/>
                <w:sz w:val="17"/>
                <w:szCs w:val="17"/>
              </w:rPr>
            </w:pPr>
            <w:r w:rsidRPr="00D4337A">
              <w:rPr>
                <w:rFonts w:asciiTheme="minorHAnsi" w:hAnsiTheme="minorHAnsi" w:cstheme="minorHAnsi"/>
                <w:color w:val="FFFFFF" w:themeColor="background1"/>
                <w:sz w:val="17"/>
                <w:szCs w:val="17"/>
              </w:rPr>
              <w:t>Time in current position</w:t>
            </w:r>
          </w:p>
        </w:tc>
        <w:tc>
          <w:tcPr>
            <w:tcW w:w="2126" w:type="dxa"/>
            <w:shd w:val="clear" w:color="auto" w:fill="006652" w:themeFill="accent1"/>
          </w:tcPr>
          <w:p w14:paraId="7B45584E" w14:textId="56C79B3E" w:rsidR="00AA7962" w:rsidRPr="00D4337A" w:rsidRDefault="004623C0" w:rsidP="008675ED">
            <w:pPr>
              <w:rPr>
                <w:rFonts w:asciiTheme="minorHAnsi" w:hAnsiTheme="minorHAnsi" w:cstheme="minorHAnsi"/>
                <w:color w:val="FFFFFF" w:themeColor="background1"/>
                <w:sz w:val="17"/>
                <w:szCs w:val="17"/>
              </w:rPr>
            </w:pPr>
            <w:r w:rsidRPr="00D4337A">
              <w:rPr>
                <w:rFonts w:asciiTheme="minorHAnsi" w:hAnsiTheme="minorHAnsi" w:cstheme="minorHAnsi"/>
                <w:color w:val="FFFFFF" w:themeColor="background1"/>
                <w:sz w:val="17"/>
                <w:szCs w:val="17"/>
              </w:rPr>
              <w:t>Previous or other current position</w:t>
            </w:r>
          </w:p>
        </w:tc>
        <w:tc>
          <w:tcPr>
            <w:tcW w:w="1985" w:type="dxa"/>
            <w:shd w:val="clear" w:color="auto" w:fill="006652" w:themeFill="accent1"/>
          </w:tcPr>
          <w:p w14:paraId="2E59B4E7" w14:textId="50B8B769" w:rsidR="00AA7962" w:rsidRPr="00D4337A" w:rsidRDefault="004623C0" w:rsidP="008675ED">
            <w:pPr>
              <w:rPr>
                <w:rFonts w:asciiTheme="minorHAnsi" w:hAnsiTheme="minorHAnsi" w:cstheme="minorHAnsi"/>
                <w:color w:val="FFFFFF" w:themeColor="background1"/>
                <w:sz w:val="17"/>
                <w:szCs w:val="17"/>
              </w:rPr>
            </w:pPr>
            <w:r w:rsidRPr="00D4337A">
              <w:rPr>
                <w:rFonts w:asciiTheme="minorHAnsi" w:hAnsiTheme="minorHAnsi" w:cstheme="minorHAnsi"/>
                <w:color w:val="FFFFFF" w:themeColor="background1"/>
                <w:sz w:val="17"/>
                <w:szCs w:val="17"/>
              </w:rPr>
              <w:t>Time in previous or other current position</w:t>
            </w:r>
          </w:p>
        </w:tc>
      </w:tr>
      <w:tr w:rsidR="00061C62" w:rsidRPr="008A244B" w14:paraId="1EB3A2B5" w14:textId="77777777" w:rsidTr="005A3ABD">
        <w:trPr>
          <w:trHeight w:val="739"/>
        </w:trPr>
        <w:tc>
          <w:tcPr>
            <w:tcW w:w="1560" w:type="dxa"/>
            <w:tcBorders>
              <w:bottom w:val="single" w:sz="4" w:space="0" w:color="BFBFBF" w:themeColor="background1" w:themeShade="BF"/>
            </w:tcBorders>
          </w:tcPr>
          <w:p w14:paraId="6BC85613" w14:textId="1FFDBFAC" w:rsidR="00061C62" w:rsidRPr="004E3934" w:rsidRDefault="00061C62" w:rsidP="00061C62">
            <w:pPr>
              <w:pStyle w:val="TableBodyCopy"/>
            </w:pPr>
            <w:r w:rsidRPr="004E3934">
              <w:t>Damon O’Brien</w:t>
            </w:r>
          </w:p>
        </w:tc>
        <w:tc>
          <w:tcPr>
            <w:tcW w:w="2409" w:type="dxa"/>
            <w:tcBorders>
              <w:bottom w:val="single" w:sz="4" w:space="0" w:color="BFBFBF" w:themeColor="background1" w:themeShade="BF"/>
            </w:tcBorders>
          </w:tcPr>
          <w:p w14:paraId="7F9B171A" w14:textId="1C87C5FA" w:rsidR="00061C62" w:rsidRPr="004E3934" w:rsidRDefault="00061C62" w:rsidP="00061C62">
            <w:pPr>
              <w:pStyle w:val="TableBodyCopy"/>
            </w:pPr>
            <w:r w:rsidRPr="004E3934">
              <w:t>Investment Director at Consilium NZ Limited</w:t>
            </w:r>
          </w:p>
        </w:tc>
        <w:tc>
          <w:tcPr>
            <w:tcW w:w="1843" w:type="dxa"/>
            <w:tcBorders>
              <w:bottom w:val="single" w:sz="4" w:space="0" w:color="BFBFBF" w:themeColor="background1" w:themeShade="BF"/>
            </w:tcBorders>
            <w:shd w:val="clear" w:color="auto" w:fill="auto"/>
          </w:tcPr>
          <w:p w14:paraId="7BD2388D" w14:textId="1E049912" w:rsidR="00061C62" w:rsidRPr="004E3934" w:rsidRDefault="00023E7A" w:rsidP="00061C62">
            <w:pPr>
              <w:pStyle w:val="TableBodyCopy"/>
            </w:pPr>
            <w:r>
              <w:t>1</w:t>
            </w:r>
            <w:r w:rsidR="00DA46CD">
              <w:t xml:space="preserve"> year and 2</w:t>
            </w:r>
            <w:r w:rsidR="00061C62" w:rsidRPr="004E3934">
              <w:t xml:space="preserve"> months</w:t>
            </w:r>
          </w:p>
        </w:tc>
        <w:tc>
          <w:tcPr>
            <w:tcW w:w="2126" w:type="dxa"/>
            <w:tcBorders>
              <w:bottom w:val="single" w:sz="4" w:space="0" w:color="BFBFBF" w:themeColor="background1" w:themeShade="BF"/>
            </w:tcBorders>
          </w:tcPr>
          <w:p w14:paraId="4AD08005" w14:textId="2DB0E4E2" w:rsidR="00061C62" w:rsidRPr="004E3934" w:rsidRDefault="00061C62" w:rsidP="00061C62">
            <w:pPr>
              <w:pStyle w:val="TableBodyCopy"/>
            </w:pPr>
            <w:r w:rsidRPr="004E3934">
              <w:t>Head of Investment Services at Consilium NZ Limited</w:t>
            </w:r>
          </w:p>
        </w:tc>
        <w:tc>
          <w:tcPr>
            <w:tcW w:w="1985" w:type="dxa"/>
            <w:tcBorders>
              <w:bottom w:val="single" w:sz="4" w:space="0" w:color="BFBFBF" w:themeColor="background1" w:themeShade="BF"/>
            </w:tcBorders>
          </w:tcPr>
          <w:p w14:paraId="3BCC10F7" w14:textId="76497A68" w:rsidR="00061C62" w:rsidRPr="004E3934" w:rsidRDefault="00061C62" w:rsidP="00061C62">
            <w:pPr>
              <w:pStyle w:val="TableBodyCopy"/>
            </w:pPr>
            <w:r w:rsidRPr="004E3934">
              <w:t>10 years</w:t>
            </w:r>
          </w:p>
        </w:tc>
      </w:tr>
      <w:tr w:rsidR="00061C62" w:rsidRPr="008A244B" w14:paraId="2278B98D" w14:textId="77777777" w:rsidTr="005A3ABD">
        <w:trPr>
          <w:trHeight w:val="630"/>
        </w:trPr>
        <w:tc>
          <w:tcPr>
            <w:tcW w:w="1560" w:type="dxa"/>
            <w:tcBorders>
              <w:top w:val="single" w:sz="4" w:space="0" w:color="BFBFBF" w:themeColor="background1" w:themeShade="BF"/>
              <w:bottom w:val="single" w:sz="4" w:space="0" w:color="BFBFBF" w:themeColor="background1" w:themeShade="BF"/>
            </w:tcBorders>
          </w:tcPr>
          <w:p w14:paraId="6D0F3092" w14:textId="4D19BB3E" w:rsidR="00061C62" w:rsidRPr="004E3934" w:rsidRDefault="00061C62" w:rsidP="00061C62">
            <w:pPr>
              <w:pStyle w:val="TableBodyCopy"/>
            </w:pPr>
            <w:r w:rsidRPr="004E3934">
              <w:t>Mitchell Bristow</w:t>
            </w:r>
          </w:p>
        </w:tc>
        <w:tc>
          <w:tcPr>
            <w:tcW w:w="2409" w:type="dxa"/>
            <w:tcBorders>
              <w:top w:val="single" w:sz="4" w:space="0" w:color="BFBFBF" w:themeColor="background1" w:themeShade="BF"/>
              <w:bottom w:val="single" w:sz="4" w:space="0" w:color="BFBFBF" w:themeColor="background1" w:themeShade="BF"/>
            </w:tcBorders>
          </w:tcPr>
          <w:p w14:paraId="7AC73464" w14:textId="3AD2EFEF" w:rsidR="00061C62" w:rsidRPr="004E3934" w:rsidRDefault="00061C62" w:rsidP="00061C62">
            <w:pPr>
              <w:pStyle w:val="TableBodyCopy"/>
            </w:pPr>
            <w:r w:rsidRPr="004E3934">
              <w:t>Head of Investment Services at Consilium NZ Limited</w:t>
            </w:r>
          </w:p>
        </w:tc>
        <w:tc>
          <w:tcPr>
            <w:tcW w:w="1843" w:type="dxa"/>
            <w:tcBorders>
              <w:top w:val="single" w:sz="4" w:space="0" w:color="BFBFBF" w:themeColor="background1" w:themeShade="BF"/>
              <w:bottom w:val="single" w:sz="4" w:space="0" w:color="BFBFBF" w:themeColor="background1" w:themeShade="BF"/>
            </w:tcBorders>
            <w:shd w:val="clear" w:color="auto" w:fill="auto"/>
          </w:tcPr>
          <w:p w14:paraId="4731DB23" w14:textId="0B7F1601" w:rsidR="00061C62" w:rsidRPr="004E3934" w:rsidRDefault="00023E7A" w:rsidP="00061C62">
            <w:pPr>
              <w:pStyle w:val="TableBodyCopy"/>
            </w:pPr>
            <w:r>
              <w:t>1</w:t>
            </w:r>
            <w:r w:rsidR="00DA46CD">
              <w:t xml:space="preserve"> year and 2</w:t>
            </w:r>
            <w:r w:rsidR="00061C62" w:rsidRPr="004E3934">
              <w:t xml:space="preserve"> months</w:t>
            </w:r>
          </w:p>
        </w:tc>
        <w:tc>
          <w:tcPr>
            <w:tcW w:w="2126" w:type="dxa"/>
            <w:tcBorders>
              <w:top w:val="single" w:sz="4" w:space="0" w:color="BFBFBF" w:themeColor="background1" w:themeShade="BF"/>
              <w:bottom w:val="single" w:sz="4" w:space="0" w:color="BFBFBF" w:themeColor="background1" w:themeShade="BF"/>
            </w:tcBorders>
          </w:tcPr>
          <w:p w14:paraId="5EB09C77" w14:textId="3BF4CE8A" w:rsidR="00061C62" w:rsidRPr="004E3934" w:rsidRDefault="00061C62" w:rsidP="00061C62">
            <w:pPr>
              <w:pStyle w:val="TableBodyCopy"/>
            </w:pPr>
            <w:r w:rsidRPr="004E3934">
              <w:t>Investment Research Lead at Consilium NZ Limited</w:t>
            </w:r>
          </w:p>
        </w:tc>
        <w:tc>
          <w:tcPr>
            <w:tcW w:w="1985" w:type="dxa"/>
            <w:tcBorders>
              <w:top w:val="single" w:sz="4" w:space="0" w:color="BFBFBF" w:themeColor="background1" w:themeShade="BF"/>
              <w:bottom w:val="single" w:sz="4" w:space="0" w:color="BFBFBF" w:themeColor="background1" w:themeShade="BF"/>
            </w:tcBorders>
          </w:tcPr>
          <w:p w14:paraId="386F5766" w14:textId="70659A42" w:rsidR="00061C62" w:rsidRPr="004E3934" w:rsidRDefault="00061C62" w:rsidP="00061C62">
            <w:pPr>
              <w:pStyle w:val="TableBodyCopy"/>
            </w:pPr>
            <w:r w:rsidRPr="004E3934">
              <w:t>4 years and 5 months</w:t>
            </w:r>
          </w:p>
        </w:tc>
      </w:tr>
      <w:tr w:rsidR="009B0354" w:rsidRPr="008A244B" w14:paraId="71721BA2" w14:textId="77777777" w:rsidTr="005A3ABD">
        <w:trPr>
          <w:trHeight w:val="1056"/>
        </w:trPr>
        <w:tc>
          <w:tcPr>
            <w:tcW w:w="1560" w:type="dxa"/>
            <w:tcBorders>
              <w:top w:val="single" w:sz="4" w:space="0" w:color="BFBFBF" w:themeColor="background1" w:themeShade="BF"/>
              <w:bottom w:val="single" w:sz="4" w:space="0" w:color="BFBFBF" w:themeColor="background1" w:themeShade="BF"/>
            </w:tcBorders>
            <w:shd w:val="clear" w:color="auto" w:fill="FFFFFF" w:themeFill="background1"/>
          </w:tcPr>
          <w:p w14:paraId="4FAEB36C" w14:textId="77777777" w:rsidR="009B0354" w:rsidRPr="004E3934" w:rsidRDefault="009B0354" w:rsidP="004046F4">
            <w:pPr>
              <w:pStyle w:val="TableBodyCopy"/>
            </w:pPr>
            <w:r w:rsidRPr="004E3934">
              <w:t>Bhanu Singh</w:t>
            </w:r>
          </w:p>
        </w:tc>
        <w:tc>
          <w:tcPr>
            <w:tcW w:w="2409" w:type="dxa"/>
            <w:tcBorders>
              <w:top w:val="single" w:sz="4" w:space="0" w:color="BFBFBF" w:themeColor="background1" w:themeShade="BF"/>
              <w:bottom w:val="single" w:sz="4" w:space="0" w:color="BFBFBF" w:themeColor="background1" w:themeShade="BF"/>
            </w:tcBorders>
          </w:tcPr>
          <w:p w14:paraId="7C261132" w14:textId="6EF33E1F" w:rsidR="009B0354" w:rsidRPr="004E3934" w:rsidRDefault="00266281" w:rsidP="004046F4">
            <w:pPr>
              <w:pStyle w:val="TableBodyCopy"/>
            </w:pPr>
            <w:bookmarkStart w:id="0" w:name="OLE_LINK1"/>
            <w:r w:rsidRPr="004E3934">
              <w:t>Chief Executive Officer</w:t>
            </w:r>
            <w:r w:rsidR="00BF6AA8" w:rsidRPr="004E3934">
              <w:t xml:space="preserve"> and Senior Investment Director</w:t>
            </w:r>
            <w:r w:rsidR="004046F4" w:rsidRPr="004E3934">
              <w:br/>
            </w:r>
            <w:r w:rsidR="009B0354" w:rsidRPr="004E3934">
              <w:t>at DFA Australia Limited</w:t>
            </w:r>
            <w:bookmarkEnd w:id="0"/>
          </w:p>
        </w:tc>
        <w:tc>
          <w:tcPr>
            <w:tcW w:w="1843" w:type="dxa"/>
            <w:tcBorders>
              <w:top w:val="single" w:sz="4" w:space="0" w:color="BFBFBF" w:themeColor="background1" w:themeShade="BF"/>
              <w:bottom w:val="single" w:sz="4" w:space="0" w:color="BFBFBF" w:themeColor="background1" w:themeShade="BF"/>
            </w:tcBorders>
            <w:shd w:val="clear" w:color="auto" w:fill="auto"/>
          </w:tcPr>
          <w:p w14:paraId="5B6E98A2" w14:textId="1BF45AB1" w:rsidR="009B0354" w:rsidRPr="004E3934" w:rsidRDefault="00617AD6" w:rsidP="004046F4">
            <w:pPr>
              <w:pStyle w:val="TableBodyCopy"/>
            </w:pPr>
            <w:r>
              <w:t>2</w:t>
            </w:r>
            <w:r w:rsidR="00AF3A63" w:rsidRPr="004E3934">
              <w:t xml:space="preserve"> </w:t>
            </w:r>
            <w:r w:rsidR="006F6BA8" w:rsidRPr="004E3934">
              <w:t>year</w:t>
            </w:r>
            <w:r>
              <w:t>s</w:t>
            </w:r>
            <w:r w:rsidR="00023E7A">
              <w:t xml:space="preserve"> and </w:t>
            </w:r>
            <w:r w:rsidR="00DA46CD">
              <w:t>6</w:t>
            </w:r>
            <w:r w:rsidR="00023E7A">
              <w:t xml:space="preserve"> months</w:t>
            </w:r>
          </w:p>
        </w:tc>
        <w:tc>
          <w:tcPr>
            <w:tcW w:w="2126" w:type="dxa"/>
            <w:tcBorders>
              <w:top w:val="single" w:sz="4" w:space="0" w:color="BFBFBF" w:themeColor="background1" w:themeShade="BF"/>
              <w:bottom w:val="single" w:sz="4" w:space="0" w:color="BFBFBF" w:themeColor="background1" w:themeShade="BF"/>
            </w:tcBorders>
          </w:tcPr>
          <w:p w14:paraId="3CE2673A" w14:textId="69493848" w:rsidR="009B0354" w:rsidRPr="004E3934" w:rsidRDefault="00C273AF" w:rsidP="004046F4">
            <w:pPr>
              <w:pStyle w:val="TableBodyCopy"/>
            </w:pPr>
            <w:r w:rsidRPr="004E3934">
              <w:t>Head of Portfolio Management APAC, Director and Vice President at DFA Australia Limited</w:t>
            </w:r>
          </w:p>
        </w:tc>
        <w:tc>
          <w:tcPr>
            <w:tcW w:w="1985" w:type="dxa"/>
            <w:tcBorders>
              <w:top w:val="single" w:sz="4" w:space="0" w:color="BFBFBF" w:themeColor="background1" w:themeShade="BF"/>
              <w:bottom w:val="single" w:sz="4" w:space="0" w:color="BFBFBF" w:themeColor="background1" w:themeShade="BF"/>
            </w:tcBorders>
          </w:tcPr>
          <w:p w14:paraId="549EF6E2" w14:textId="06DBDC1B" w:rsidR="009B0354" w:rsidRPr="004E3934" w:rsidRDefault="00F11ED7" w:rsidP="004046F4">
            <w:pPr>
              <w:pStyle w:val="TableBodyCopy"/>
            </w:pPr>
            <w:r w:rsidRPr="004E3934">
              <w:t>7 years and 9 months</w:t>
            </w:r>
          </w:p>
        </w:tc>
      </w:tr>
      <w:tr w:rsidR="009B0354" w:rsidRPr="008A244B" w14:paraId="57F78B0A" w14:textId="77777777" w:rsidTr="005A3ABD">
        <w:trPr>
          <w:trHeight w:val="912"/>
        </w:trPr>
        <w:tc>
          <w:tcPr>
            <w:tcW w:w="1560" w:type="dxa"/>
            <w:tcBorders>
              <w:top w:val="single" w:sz="4" w:space="0" w:color="BFBFBF" w:themeColor="background1" w:themeShade="BF"/>
              <w:bottom w:val="single" w:sz="8" w:space="0" w:color="006652" w:themeColor="accent1"/>
            </w:tcBorders>
          </w:tcPr>
          <w:p w14:paraId="419B0665" w14:textId="665B809E" w:rsidR="009B0354" w:rsidRPr="00816BAF" w:rsidRDefault="00081A9D" w:rsidP="004046F4">
            <w:pPr>
              <w:pStyle w:val="TableBodyCopy"/>
            </w:pPr>
            <w:r w:rsidRPr="00081A9D">
              <w:t>Timo Zauner</w:t>
            </w:r>
          </w:p>
        </w:tc>
        <w:tc>
          <w:tcPr>
            <w:tcW w:w="2409" w:type="dxa"/>
            <w:tcBorders>
              <w:top w:val="single" w:sz="4" w:space="0" w:color="BFBFBF" w:themeColor="background1" w:themeShade="BF"/>
              <w:bottom w:val="single" w:sz="8" w:space="0" w:color="006652" w:themeColor="accent1"/>
            </w:tcBorders>
          </w:tcPr>
          <w:p w14:paraId="735123EF" w14:textId="15E1C74C" w:rsidR="009B0354" w:rsidRPr="00816BAF" w:rsidRDefault="00095BD4" w:rsidP="004046F4">
            <w:pPr>
              <w:pStyle w:val="TableBodyCopy"/>
            </w:pPr>
            <w:r w:rsidRPr="00816BAF">
              <w:t>Portfolio Manager, Fixed Income and Vice President at DFA Australia Limited</w:t>
            </w:r>
          </w:p>
        </w:tc>
        <w:tc>
          <w:tcPr>
            <w:tcW w:w="1843" w:type="dxa"/>
            <w:tcBorders>
              <w:top w:val="single" w:sz="4" w:space="0" w:color="BFBFBF" w:themeColor="background1" w:themeShade="BF"/>
              <w:bottom w:val="single" w:sz="8" w:space="0" w:color="006652" w:themeColor="accent1"/>
            </w:tcBorders>
            <w:shd w:val="clear" w:color="auto" w:fill="auto"/>
          </w:tcPr>
          <w:p w14:paraId="0ADC8076" w14:textId="7E17EF04" w:rsidR="009B0354" w:rsidRPr="00816BAF" w:rsidRDefault="00DA46CD" w:rsidP="004046F4">
            <w:pPr>
              <w:pStyle w:val="TableBodyCopy"/>
            </w:pPr>
            <w:r>
              <w:t>1 year</w:t>
            </w:r>
          </w:p>
        </w:tc>
        <w:tc>
          <w:tcPr>
            <w:tcW w:w="2126" w:type="dxa"/>
            <w:tcBorders>
              <w:top w:val="single" w:sz="4" w:space="0" w:color="BFBFBF" w:themeColor="background1" w:themeShade="BF"/>
              <w:bottom w:val="single" w:sz="8" w:space="0" w:color="006652" w:themeColor="accent1"/>
            </w:tcBorders>
          </w:tcPr>
          <w:p w14:paraId="4838F36D" w14:textId="66699265" w:rsidR="009B0354" w:rsidRPr="0043448C" w:rsidRDefault="00816BAF" w:rsidP="004046F4">
            <w:pPr>
              <w:pStyle w:val="TableBodyCopy"/>
              <w:rPr>
                <w:highlight w:val="yellow"/>
              </w:rPr>
            </w:pPr>
            <w:r w:rsidRPr="00816BAF">
              <w:t>Portfolio Manager, Fixed Income at DFA Australia Limited</w:t>
            </w:r>
          </w:p>
        </w:tc>
        <w:tc>
          <w:tcPr>
            <w:tcW w:w="1985" w:type="dxa"/>
            <w:tcBorders>
              <w:top w:val="single" w:sz="4" w:space="0" w:color="BFBFBF" w:themeColor="background1" w:themeShade="BF"/>
              <w:bottom w:val="single" w:sz="8" w:space="0" w:color="006652" w:themeColor="accent1"/>
            </w:tcBorders>
          </w:tcPr>
          <w:p w14:paraId="4BDF7E27" w14:textId="66FEF76F" w:rsidR="009B0354" w:rsidRPr="0043448C" w:rsidRDefault="00816BAF" w:rsidP="004046F4">
            <w:pPr>
              <w:pStyle w:val="TableBodyCopy"/>
              <w:rPr>
                <w:highlight w:val="yellow"/>
              </w:rPr>
            </w:pPr>
            <w:r w:rsidRPr="00464C8F">
              <w:t>7</w:t>
            </w:r>
            <w:r w:rsidR="009B0354" w:rsidRPr="00464C8F">
              <w:t xml:space="preserve"> year</w:t>
            </w:r>
            <w:r w:rsidR="00984D6C" w:rsidRPr="00464C8F">
              <w:t>s</w:t>
            </w:r>
            <w:r w:rsidR="009B0354" w:rsidRPr="00464C8F">
              <w:t xml:space="preserve"> and </w:t>
            </w:r>
            <w:r w:rsidR="004D2FA5" w:rsidRPr="00464C8F">
              <w:t>1</w:t>
            </w:r>
            <w:r w:rsidR="009B0354" w:rsidRPr="00464C8F">
              <w:t xml:space="preserve"> month</w:t>
            </w:r>
          </w:p>
        </w:tc>
      </w:tr>
      <w:tr w:rsidR="009B0354" w:rsidRPr="008A244B" w14:paraId="2B00905B" w14:textId="77777777" w:rsidTr="001A68D0">
        <w:trPr>
          <w:trHeight w:val="428"/>
        </w:trPr>
        <w:tc>
          <w:tcPr>
            <w:tcW w:w="1560" w:type="dxa"/>
            <w:tcBorders>
              <w:top w:val="single" w:sz="8" w:space="0" w:color="006652" w:themeColor="accent1"/>
            </w:tcBorders>
          </w:tcPr>
          <w:p w14:paraId="35D93799" w14:textId="77777777" w:rsidR="009B0354" w:rsidRPr="008A244B" w:rsidRDefault="009B0354" w:rsidP="00E2568E"/>
        </w:tc>
        <w:tc>
          <w:tcPr>
            <w:tcW w:w="2409" w:type="dxa"/>
            <w:tcBorders>
              <w:top w:val="single" w:sz="8" w:space="0" w:color="006652" w:themeColor="accent1"/>
            </w:tcBorders>
          </w:tcPr>
          <w:p w14:paraId="6936AB31" w14:textId="77777777" w:rsidR="009B0354" w:rsidRPr="008A244B" w:rsidRDefault="009B0354" w:rsidP="008675ED">
            <w:pPr>
              <w:rPr>
                <w:rFonts w:cs="Segoe UI Light"/>
                <w:sz w:val="20"/>
                <w:szCs w:val="20"/>
              </w:rPr>
            </w:pPr>
          </w:p>
        </w:tc>
        <w:tc>
          <w:tcPr>
            <w:tcW w:w="1843" w:type="dxa"/>
            <w:tcBorders>
              <w:top w:val="single" w:sz="8" w:space="0" w:color="006652" w:themeColor="accent1"/>
            </w:tcBorders>
          </w:tcPr>
          <w:p w14:paraId="715262FF" w14:textId="77777777" w:rsidR="009B0354" w:rsidRPr="008A244B" w:rsidRDefault="009B0354" w:rsidP="008675ED">
            <w:pPr>
              <w:rPr>
                <w:rFonts w:cs="Segoe UI Light"/>
                <w:sz w:val="20"/>
                <w:szCs w:val="20"/>
              </w:rPr>
            </w:pPr>
          </w:p>
        </w:tc>
        <w:tc>
          <w:tcPr>
            <w:tcW w:w="2126" w:type="dxa"/>
            <w:tcBorders>
              <w:top w:val="single" w:sz="8" w:space="0" w:color="006652" w:themeColor="accent1"/>
            </w:tcBorders>
          </w:tcPr>
          <w:p w14:paraId="00ACB592" w14:textId="77777777" w:rsidR="009B0354" w:rsidRPr="008A244B" w:rsidRDefault="009B0354" w:rsidP="008675ED">
            <w:pPr>
              <w:rPr>
                <w:rFonts w:cs="Segoe UI Light"/>
                <w:sz w:val="20"/>
                <w:szCs w:val="20"/>
              </w:rPr>
            </w:pPr>
          </w:p>
        </w:tc>
        <w:tc>
          <w:tcPr>
            <w:tcW w:w="1985" w:type="dxa"/>
            <w:tcBorders>
              <w:top w:val="single" w:sz="8" w:space="0" w:color="006652" w:themeColor="accent1"/>
            </w:tcBorders>
          </w:tcPr>
          <w:p w14:paraId="7CBE48EC" w14:textId="77777777" w:rsidR="009B0354" w:rsidRPr="008A244B" w:rsidRDefault="009B0354" w:rsidP="008675ED">
            <w:pPr>
              <w:rPr>
                <w:rFonts w:cs="Segoe UI Light"/>
                <w:sz w:val="20"/>
                <w:szCs w:val="20"/>
              </w:rPr>
            </w:pPr>
          </w:p>
        </w:tc>
      </w:tr>
    </w:tbl>
    <w:p w14:paraId="0D27E5E5" w14:textId="77777777" w:rsidR="00925D4A" w:rsidRDefault="00A90DA3" w:rsidP="00925D4A">
      <w:pPr>
        <w:pStyle w:val="Heading3EV"/>
        <w:rPr>
          <w:rFonts w:ascii="Segoe UI Light" w:hAnsi="Segoe UI Light" w:cs="Segoe UI Light"/>
          <w:color w:val="006600"/>
        </w:rPr>
      </w:pPr>
      <w:r w:rsidRPr="00DB0816">
        <w:t>Further information</w:t>
      </w:r>
    </w:p>
    <w:p w14:paraId="73B10347" w14:textId="55ED56CD" w:rsidR="004B2D1F" w:rsidRDefault="003D27D7" w:rsidP="00925D4A">
      <w:r>
        <w:t xml:space="preserve">You can also obtain this information, the PDS for the </w:t>
      </w:r>
      <w:r w:rsidR="00EC5D62">
        <w:t>Evidential Sustainable</w:t>
      </w:r>
      <w:r w:rsidR="000E26DE">
        <w:t xml:space="preserve"> Global Bond Fund</w:t>
      </w:r>
      <w:r w:rsidR="00B20F69">
        <w:t xml:space="preserve">, and some additional information from the offer register at </w:t>
      </w:r>
      <w:hyperlink r:id="rId22" w:history="1">
        <w:r w:rsidR="004B2D1F" w:rsidRPr="00ED1753">
          <w:rPr>
            <w:rStyle w:val="Hyperlink"/>
            <w:rFonts w:cs="Segoe UI Light"/>
          </w:rPr>
          <w:t>www.disclose-register.companiesoffice.govt.nz</w:t>
        </w:r>
      </w:hyperlink>
      <w:r w:rsidR="004B2D1F">
        <w:t xml:space="preserve">. </w:t>
      </w:r>
    </w:p>
    <w:p w14:paraId="60CD9553" w14:textId="77777777" w:rsidR="00E2568E" w:rsidRDefault="00E2568E" w:rsidP="00E2568E"/>
    <w:p w14:paraId="1B34EA9F" w14:textId="55CAD155" w:rsidR="000844D5" w:rsidRDefault="00D17014" w:rsidP="000844D5">
      <w:pPr>
        <w:pStyle w:val="Heading3EV"/>
      </w:pPr>
      <w:r w:rsidRPr="00DB0816">
        <w:t>Note</w:t>
      </w:r>
      <w:r w:rsidR="002B2D70" w:rsidRPr="00DB0816">
        <w:t>s</w:t>
      </w:r>
    </w:p>
    <w:sectPr w:rsidR="000844D5" w:rsidSect="00495F0C">
      <w:type w:val="continuous"/>
      <w:pgSz w:w="11906" w:h="16838"/>
      <w:pgMar w:top="1701" w:right="964" w:bottom="1418"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8E44" w14:textId="77777777" w:rsidR="0060127D" w:rsidRDefault="0060127D" w:rsidP="00F70FC5">
      <w:pPr>
        <w:spacing w:after="0" w:line="240" w:lineRule="auto"/>
      </w:pPr>
      <w:r>
        <w:separator/>
      </w:r>
    </w:p>
  </w:endnote>
  <w:endnote w:type="continuationSeparator" w:id="0">
    <w:p w14:paraId="7830CB8B" w14:textId="77777777" w:rsidR="0060127D" w:rsidRDefault="0060127D" w:rsidP="00F70FC5">
      <w:pPr>
        <w:spacing w:after="0" w:line="240" w:lineRule="auto"/>
      </w:pPr>
      <w:r>
        <w:continuationSeparator/>
      </w:r>
    </w:p>
  </w:endnote>
  <w:endnote w:type="continuationNotice" w:id="1">
    <w:p w14:paraId="55C1A438" w14:textId="77777777" w:rsidR="0060127D" w:rsidRDefault="0060127D">
      <w:pPr>
        <w:spacing w:after="0" w:line="240" w:lineRule="auto"/>
      </w:pPr>
    </w:p>
  </w:endnote>
  <w:endnote w:id="2">
    <w:p w14:paraId="575289AF" w14:textId="52FBB7BA" w:rsidR="00B32484" w:rsidRPr="00650781" w:rsidRDefault="00C32C7F" w:rsidP="00A41D5F">
      <w:pPr>
        <w:pStyle w:val="EndnoteText"/>
        <w:numPr>
          <w:ilvl w:val="0"/>
          <w:numId w:val="6"/>
        </w:numPr>
        <w:spacing w:before="240"/>
        <w:ind w:left="360"/>
        <w:rPr>
          <w:rFonts w:cs="Segoe UI Light"/>
          <w:color w:val="323232" w:themeColor="text1"/>
          <w:sz w:val="16"/>
          <w:szCs w:val="16"/>
        </w:rPr>
      </w:pPr>
      <w:r w:rsidRPr="00650781">
        <w:rPr>
          <w:rFonts w:cs="Segoe UI Light"/>
          <w:color w:val="323232" w:themeColor="text1"/>
          <w:sz w:val="16"/>
          <w:szCs w:val="16"/>
        </w:rPr>
        <w:t>Returns of the Dimensional Global Bond Sustainability Trust</w:t>
      </w:r>
      <w:r w:rsidR="001251AD" w:rsidRPr="00650781">
        <w:rPr>
          <w:rFonts w:cs="Segoe UI Light"/>
          <w:color w:val="323232" w:themeColor="text1"/>
          <w:sz w:val="16"/>
          <w:szCs w:val="16"/>
        </w:rPr>
        <w:t xml:space="preserve"> (NZD)</w:t>
      </w:r>
      <w:r w:rsidRPr="00650781">
        <w:rPr>
          <w:rFonts w:cs="Segoe UI Light"/>
          <w:color w:val="323232" w:themeColor="text1"/>
          <w:sz w:val="16"/>
          <w:szCs w:val="16"/>
        </w:rPr>
        <w:t xml:space="preserve"> </w:t>
      </w:r>
      <w:r w:rsidR="00E54BCD">
        <w:rPr>
          <w:rFonts w:cs="Segoe UI Light"/>
          <w:color w:val="323232" w:themeColor="text1"/>
          <w:sz w:val="16"/>
          <w:szCs w:val="16"/>
        </w:rPr>
        <w:t>(</w:t>
      </w:r>
      <w:r w:rsidRPr="00650781">
        <w:rPr>
          <w:rFonts w:cs="Segoe UI Light"/>
          <w:color w:val="323232" w:themeColor="text1"/>
          <w:sz w:val="16"/>
          <w:szCs w:val="16"/>
        </w:rPr>
        <w:t>into which the Fund invests</w:t>
      </w:r>
      <w:r w:rsidR="00E54BCD">
        <w:rPr>
          <w:rFonts w:cs="Segoe UI Light"/>
          <w:color w:val="323232" w:themeColor="text1"/>
          <w:sz w:val="16"/>
          <w:szCs w:val="16"/>
        </w:rPr>
        <w:t>),</w:t>
      </w:r>
      <w:r w:rsidRPr="00650781">
        <w:rPr>
          <w:rFonts w:cs="Segoe UI Light"/>
          <w:color w:val="323232" w:themeColor="text1"/>
          <w:sz w:val="16"/>
          <w:szCs w:val="16"/>
        </w:rPr>
        <w:t xml:space="preserve"> </w:t>
      </w:r>
      <w:r w:rsidR="009515FD" w:rsidRPr="00650781">
        <w:rPr>
          <w:rFonts w:cs="Segoe UI Light"/>
          <w:color w:val="323232" w:themeColor="text1"/>
          <w:sz w:val="16"/>
          <w:szCs w:val="16"/>
        </w:rPr>
        <w:t>as well as actual returns</w:t>
      </w:r>
      <w:r w:rsidRPr="00650781">
        <w:rPr>
          <w:rFonts w:cs="Segoe UI Light"/>
          <w:color w:val="323232" w:themeColor="text1"/>
          <w:sz w:val="16"/>
          <w:szCs w:val="16"/>
        </w:rPr>
        <w:t>, have been used to calculate the risk indicator</w:t>
      </w:r>
      <w:r w:rsidR="009515FD" w:rsidRPr="00650781">
        <w:rPr>
          <w:rFonts w:cs="Segoe UI Light"/>
          <w:color w:val="323232" w:themeColor="text1"/>
          <w:sz w:val="16"/>
          <w:szCs w:val="16"/>
        </w:rPr>
        <w:t xml:space="preserve">, as the </w:t>
      </w:r>
      <w:r w:rsidR="004108C5">
        <w:rPr>
          <w:rFonts w:cs="Segoe UI Light"/>
          <w:color w:val="323232" w:themeColor="text1"/>
          <w:sz w:val="16"/>
          <w:szCs w:val="16"/>
        </w:rPr>
        <w:t>F</w:t>
      </w:r>
      <w:r w:rsidR="009515FD" w:rsidRPr="00650781">
        <w:rPr>
          <w:rFonts w:cs="Segoe UI Light"/>
          <w:color w:val="323232" w:themeColor="text1"/>
          <w:sz w:val="16"/>
          <w:szCs w:val="16"/>
        </w:rPr>
        <w:t>und has not been in existence for 5 year</w:t>
      </w:r>
      <w:r w:rsidR="00371BE2" w:rsidRPr="00650781">
        <w:rPr>
          <w:rFonts w:cs="Segoe UI Light"/>
          <w:color w:val="323232" w:themeColor="text1"/>
          <w:sz w:val="16"/>
          <w:szCs w:val="16"/>
        </w:rPr>
        <w:t>s.</w:t>
      </w:r>
    </w:p>
    <w:p w14:paraId="46FD424D" w14:textId="0E384DEC" w:rsidR="00925D4A" w:rsidRPr="00650781" w:rsidRDefault="00925D4A" w:rsidP="00650781">
      <w:pPr>
        <w:pStyle w:val="EndnoteText"/>
        <w:rPr>
          <w:color w:val="323232" w:themeColor="text1"/>
          <w:sz w:val="16"/>
          <w:szCs w:val="16"/>
          <w:lang w:val="en-US"/>
        </w:rPr>
      </w:pPr>
    </w:p>
  </w:endnote>
  <w:endnote w:id="3">
    <w:p w14:paraId="5594517A" w14:textId="6D739A28" w:rsidR="00CF7A27" w:rsidRPr="00650781" w:rsidRDefault="00CF7A27" w:rsidP="00650781">
      <w:pPr>
        <w:pStyle w:val="EndnoteText"/>
        <w:numPr>
          <w:ilvl w:val="0"/>
          <w:numId w:val="6"/>
        </w:numPr>
        <w:ind w:left="360"/>
        <w:rPr>
          <w:rFonts w:cs="Segoe UI Light"/>
          <w:color w:val="323232" w:themeColor="text1"/>
          <w:sz w:val="16"/>
          <w:szCs w:val="16"/>
        </w:rPr>
      </w:pPr>
      <w:r w:rsidRPr="00650781">
        <w:rPr>
          <w:rFonts w:cs="Segoe UI Light"/>
          <w:color w:val="323232" w:themeColor="text1"/>
          <w:sz w:val="16"/>
          <w:szCs w:val="16"/>
        </w:rPr>
        <w:t xml:space="preserve">The target and actual investment mix of this fund are based on: </w:t>
      </w:r>
    </w:p>
    <w:p w14:paraId="36068AF7" w14:textId="6C3089CE" w:rsidR="00CF7A27" w:rsidRPr="00650781" w:rsidRDefault="00CF7A27" w:rsidP="00A41D5F">
      <w:pPr>
        <w:pStyle w:val="EndnoteText"/>
        <w:numPr>
          <w:ilvl w:val="0"/>
          <w:numId w:val="9"/>
        </w:numPr>
        <w:rPr>
          <w:rFonts w:cs="Segoe UI Light"/>
          <w:color w:val="323232" w:themeColor="text1"/>
          <w:sz w:val="16"/>
          <w:szCs w:val="16"/>
        </w:rPr>
      </w:pPr>
      <w:r w:rsidRPr="00650781">
        <w:rPr>
          <w:rFonts w:cs="Segoe UI Light"/>
          <w:color w:val="323232" w:themeColor="text1"/>
          <w:sz w:val="16"/>
          <w:szCs w:val="16"/>
        </w:rPr>
        <w:t xml:space="preserve">the cash and cash equivalents held by the </w:t>
      </w:r>
      <w:r w:rsidR="0010464E" w:rsidRPr="00650781">
        <w:rPr>
          <w:rFonts w:cs="Segoe UI Light"/>
          <w:color w:val="323232" w:themeColor="text1"/>
          <w:sz w:val="16"/>
          <w:szCs w:val="16"/>
        </w:rPr>
        <w:t>F</w:t>
      </w:r>
      <w:r w:rsidRPr="00650781">
        <w:rPr>
          <w:rFonts w:cs="Segoe UI Light"/>
          <w:color w:val="323232" w:themeColor="text1"/>
          <w:sz w:val="16"/>
          <w:szCs w:val="16"/>
        </w:rPr>
        <w:t>und</w:t>
      </w:r>
      <w:r w:rsidR="00437783" w:rsidRPr="00650781">
        <w:rPr>
          <w:rFonts w:cs="Segoe UI Light"/>
          <w:color w:val="323232" w:themeColor="text1"/>
          <w:sz w:val="16"/>
          <w:szCs w:val="16"/>
        </w:rPr>
        <w:t xml:space="preserve"> as well as the cash and cash equivalents </w:t>
      </w:r>
      <w:r w:rsidR="005D2B95" w:rsidRPr="00650781">
        <w:rPr>
          <w:rFonts w:cs="Segoe UI Light"/>
          <w:color w:val="323232" w:themeColor="text1"/>
          <w:sz w:val="16"/>
          <w:szCs w:val="16"/>
        </w:rPr>
        <w:t xml:space="preserve">held by the </w:t>
      </w:r>
      <w:r w:rsidR="004752AC" w:rsidRPr="00650781">
        <w:rPr>
          <w:rFonts w:cs="Segoe UI Light"/>
          <w:color w:val="323232" w:themeColor="text1"/>
          <w:sz w:val="16"/>
          <w:szCs w:val="16"/>
        </w:rPr>
        <w:t>un</w:t>
      </w:r>
      <w:r w:rsidR="00647F06" w:rsidRPr="00650781">
        <w:rPr>
          <w:rFonts w:cs="Segoe UI Light"/>
          <w:color w:val="323232" w:themeColor="text1"/>
          <w:sz w:val="16"/>
          <w:szCs w:val="16"/>
        </w:rPr>
        <w:t xml:space="preserve">derlying </w:t>
      </w:r>
      <w:r w:rsidR="0062763B" w:rsidRPr="00650781">
        <w:rPr>
          <w:rFonts w:cs="Segoe UI Light"/>
          <w:color w:val="323232" w:themeColor="text1"/>
          <w:sz w:val="16"/>
          <w:szCs w:val="16"/>
        </w:rPr>
        <w:t>fund</w:t>
      </w:r>
      <w:r w:rsidRPr="00650781">
        <w:rPr>
          <w:rFonts w:cs="Segoe UI Light"/>
          <w:color w:val="323232" w:themeColor="text1"/>
          <w:sz w:val="16"/>
          <w:szCs w:val="16"/>
        </w:rPr>
        <w:t xml:space="preserve">, and </w:t>
      </w:r>
    </w:p>
    <w:p w14:paraId="340DF0CF" w14:textId="171F6110" w:rsidR="00CF7A27" w:rsidRPr="00650781" w:rsidRDefault="00CF7A27" w:rsidP="00A41D5F">
      <w:pPr>
        <w:pStyle w:val="EndnoteText"/>
        <w:numPr>
          <w:ilvl w:val="0"/>
          <w:numId w:val="9"/>
        </w:numPr>
        <w:rPr>
          <w:rFonts w:cs="Segoe UI Light"/>
          <w:color w:val="323232" w:themeColor="text1"/>
          <w:sz w:val="16"/>
          <w:szCs w:val="16"/>
        </w:rPr>
      </w:pPr>
      <w:r w:rsidRPr="00650781">
        <w:rPr>
          <w:rFonts w:cs="Segoe UI Light"/>
          <w:color w:val="323232" w:themeColor="text1"/>
          <w:sz w:val="16"/>
          <w:szCs w:val="16"/>
        </w:rPr>
        <w:t xml:space="preserve">the asset class of the </w:t>
      </w:r>
      <w:r w:rsidR="002330CC" w:rsidRPr="00650781">
        <w:rPr>
          <w:rFonts w:cs="Segoe UI Light"/>
          <w:color w:val="323232" w:themeColor="text1"/>
          <w:sz w:val="16"/>
          <w:szCs w:val="16"/>
        </w:rPr>
        <w:t>u</w:t>
      </w:r>
      <w:r w:rsidRPr="00650781">
        <w:rPr>
          <w:rFonts w:cs="Segoe UI Light"/>
          <w:color w:val="323232" w:themeColor="text1"/>
          <w:sz w:val="16"/>
          <w:szCs w:val="16"/>
        </w:rPr>
        <w:t xml:space="preserve">nderlying </w:t>
      </w:r>
      <w:r w:rsidR="002330CC" w:rsidRPr="00650781">
        <w:rPr>
          <w:rFonts w:cs="Segoe UI Light"/>
          <w:color w:val="323232" w:themeColor="text1"/>
          <w:sz w:val="16"/>
          <w:szCs w:val="16"/>
        </w:rPr>
        <w:t>f</w:t>
      </w:r>
      <w:r w:rsidRPr="00650781">
        <w:rPr>
          <w:rFonts w:cs="Segoe UI Light"/>
          <w:color w:val="323232" w:themeColor="text1"/>
          <w:sz w:val="16"/>
          <w:szCs w:val="16"/>
        </w:rPr>
        <w:t xml:space="preserve">und in which the </w:t>
      </w:r>
      <w:r w:rsidR="002330CC" w:rsidRPr="00650781">
        <w:rPr>
          <w:rFonts w:cs="Segoe UI Light"/>
          <w:color w:val="323232" w:themeColor="text1"/>
          <w:sz w:val="16"/>
          <w:szCs w:val="16"/>
        </w:rPr>
        <w:t>F</w:t>
      </w:r>
      <w:r w:rsidRPr="00650781">
        <w:rPr>
          <w:rFonts w:cs="Segoe UI Light"/>
          <w:color w:val="323232" w:themeColor="text1"/>
          <w:sz w:val="16"/>
          <w:szCs w:val="16"/>
        </w:rPr>
        <w:t>und invests.</w:t>
      </w:r>
    </w:p>
    <w:p w14:paraId="5E9E367D" w14:textId="77777777" w:rsidR="00C764C8" w:rsidRPr="00E2568E" w:rsidRDefault="00C764C8" w:rsidP="00A017D7">
      <w:pPr>
        <w:pStyle w:val="EndnoteText"/>
        <w:rPr>
          <w:rFonts w:cs="Segoe UI Light"/>
          <w:sz w:val="16"/>
          <w:szCs w:val="16"/>
        </w:rPr>
      </w:pPr>
    </w:p>
    <w:p w14:paraId="363F840C" w14:textId="77777777" w:rsidR="00CF7A27" w:rsidRPr="009770AE" w:rsidRDefault="00CF7A27" w:rsidP="00CF7A27">
      <w:pPr>
        <w:pStyle w:val="EndnoteText"/>
        <w:rPr>
          <w:rFonts w:cs="Segoe UI Light"/>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Financier Display">
    <w:altName w:val="Cambria"/>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17701"/>
      <w:docPartObj>
        <w:docPartGallery w:val="Page Numbers (Bottom of Page)"/>
        <w:docPartUnique/>
      </w:docPartObj>
    </w:sdtPr>
    <w:sdtEndPr>
      <w:rPr>
        <w:noProof/>
      </w:rPr>
    </w:sdtEndPr>
    <w:sdtContent>
      <w:p w14:paraId="36ED2D3F" w14:textId="0E412AE7" w:rsidR="009B2259" w:rsidRPr="00C36E0C" w:rsidRDefault="00C07C64" w:rsidP="007A53D4">
        <w:pPr>
          <w:pStyle w:val="DocumentFooter"/>
        </w:pPr>
        <w:r>
          <w:rPr>
            <w:noProof/>
          </w:rPr>
          <mc:AlternateContent>
            <mc:Choice Requires="wps">
              <w:drawing>
                <wp:anchor distT="0" distB="0" distL="114300" distR="114300" simplePos="0" relativeHeight="251658240" behindDoc="0" locked="0" layoutInCell="1" allowOverlap="1" wp14:anchorId="7D8EC8F4" wp14:editId="74C2DA57">
                  <wp:simplePos x="0" y="0"/>
                  <wp:positionH relativeFrom="column">
                    <wp:align>left</wp:align>
                  </wp:positionH>
                  <wp:positionV relativeFrom="page">
                    <wp:posOffset>10045065</wp:posOffset>
                  </wp:positionV>
                  <wp:extent cx="633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7D59212" id="Straight Connector 2" o:spid="_x0000_s1026" style="position:absolute;z-index:25165824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0.95pt" to="498.9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" strokecolor="#1cb899 [3208]" strokeweight=".5pt">
                  <v:stroke joinstyle="miter"/>
                  <w10:wrap anchory="page"/>
                </v:line>
              </w:pict>
            </mc:Fallback>
          </mc:AlternateContent>
        </w:r>
        <w:r w:rsidR="00C36E0C">
          <w:t>Evidential Investment Funds –</w:t>
        </w:r>
        <w:r w:rsidR="001A68D0">
          <w:t xml:space="preserve"> </w:t>
        </w:r>
        <w:r w:rsidR="00C36E0C">
          <w:t xml:space="preserve">Fund Update    </w:t>
        </w:r>
        <w:r w:rsidR="00C36E0C" w:rsidRPr="00C36E0C">
          <w:fldChar w:fldCharType="begin"/>
        </w:r>
        <w:r w:rsidR="00C36E0C" w:rsidRPr="00C36E0C">
          <w:instrText xml:space="preserve"> PAGE   \* MERGEFORMAT </w:instrText>
        </w:r>
        <w:r w:rsidR="00C36E0C" w:rsidRPr="00C36E0C">
          <w:fldChar w:fldCharType="separate"/>
        </w:r>
        <w:r w:rsidR="00C36E0C">
          <w:t>1</w:t>
        </w:r>
        <w:r w:rsidR="00C36E0C" w:rsidRPr="00C36E0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46762"/>
      <w:docPartObj>
        <w:docPartGallery w:val="Page Numbers (Bottom of Page)"/>
        <w:docPartUnique/>
      </w:docPartObj>
    </w:sdtPr>
    <w:sdtEndPr>
      <w:rPr>
        <w:noProof/>
      </w:rPr>
    </w:sdtEndPr>
    <w:sdtContent>
      <w:p w14:paraId="4E2BF497" w14:textId="073565EA" w:rsidR="00E9550A" w:rsidRDefault="0071333C" w:rsidP="0071333C">
        <w:pPr>
          <w:pStyle w:val="DocumentFooter"/>
        </w:pPr>
        <w:r>
          <w:rPr>
            <w:noProof/>
          </w:rPr>
          <mc:AlternateContent>
            <mc:Choice Requires="wps">
              <w:drawing>
                <wp:anchor distT="0" distB="0" distL="114300" distR="114300" simplePos="0" relativeHeight="251658242" behindDoc="0" locked="0" layoutInCell="1" allowOverlap="1" wp14:anchorId="4E16AAD9" wp14:editId="56A515BB">
                  <wp:simplePos x="0" y="0"/>
                  <wp:positionH relativeFrom="column">
                    <wp:align>left</wp:align>
                  </wp:positionH>
                  <wp:positionV relativeFrom="page">
                    <wp:posOffset>10045065</wp:posOffset>
                  </wp:positionV>
                  <wp:extent cx="6336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B341958" id="Straight Connector 14" o:spid="_x0000_s1026" style="position:absolute;z-index:251658242;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0.95pt" to="498.9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" strokecolor="#1cb899 [3208]" strokeweight=".5pt">
                  <v:stroke joinstyle="miter"/>
                  <w10:wrap anchory="page"/>
                </v:line>
              </w:pict>
            </mc:Fallback>
          </mc:AlternateContent>
        </w:r>
        <w:r>
          <w:t>Evidential Investment Funds –</w:t>
        </w:r>
        <w:r w:rsidR="00D41839">
          <w:t xml:space="preserve"> </w:t>
        </w:r>
        <w:r>
          <w:t xml:space="preserve">Fund Update    </w:t>
        </w:r>
        <w:r w:rsidRPr="00C36E0C">
          <w:fldChar w:fldCharType="begin"/>
        </w:r>
        <w:r w:rsidRPr="00C36E0C">
          <w:instrText xml:space="preserve"> PAGE   \* MERGEFORMAT </w:instrText>
        </w:r>
        <w:r w:rsidRPr="00C36E0C">
          <w:fldChar w:fldCharType="separate"/>
        </w:r>
        <w:r>
          <w:t>2</w:t>
        </w:r>
        <w:r w:rsidRPr="00C36E0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E908" w14:textId="77777777" w:rsidR="0060127D" w:rsidRDefault="0060127D" w:rsidP="00F70FC5">
      <w:pPr>
        <w:spacing w:after="0" w:line="240" w:lineRule="auto"/>
      </w:pPr>
      <w:r>
        <w:separator/>
      </w:r>
    </w:p>
  </w:footnote>
  <w:footnote w:type="continuationSeparator" w:id="0">
    <w:p w14:paraId="498A95EA" w14:textId="77777777" w:rsidR="0060127D" w:rsidRDefault="0060127D" w:rsidP="00F70FC5">
      <w:pPr>
        <w:spacing w:after="0" w:line="240" w:lineRule="auto"/>
      </w:pPr>
      <w:r>
        <w:continuationSeparator/>
      </w:r>
    </w:p>
  </w:footnote>
  <w:footnote w:type="continuationNotice" w:id="1">
    <w:p w14:paraId="52DEE175" w14:textId="77777777" w:rsidR="0060127D" w:rsidRDefault="00601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0B33" w14:textId="1299562B" w:rsidR="00311CF2" w:rsidRPr="006C6D66" w:rsidRDefault="00E9550A" w:rsidP="00275EB7">
    <w:pPr>
      <w:pStyle w:val="Header"/>
      <w:rPr>
        <w:rFonts w:ascii="Financier Display" w:hAnsi="Financier Display" w:cs="Segoe UI Semibold"/>
        <w:sz w:val="18"/>
        <w:szCs w:val="18"/>
      </w:rPr>
    </w:pPr>
    <w:r w:rsidRPr="006C6D66">
      <w:rPr>
        <w:noProof/>
        <w:sz w:val="16"/>
        <w:szCs w:val="18"/>
      </w:rPr>
      <mc:AlternateContent>
        <mc:Choice Requires="wps">
          <w:drawing>
            <wp:anchor distT="0" distB="0" distL="114300" distR="114300" simplePos="0" relativeHeight="251658241" behindDoc="0" locked="0" layoutInCell="1" allowOverlap="1" wp14:anchorId="26B86564" wp14:editId="5861403D">
              <wp:simplePos x="0" y="0"/>
              <wp:positionH relativeFrom="margin">
                <wp:posOffset>635</wp:posOffset>
              </wp:positionH>
              <wp:positionV relativeFrom="topMargin">
                <wp:posOffset>828040</wp:posOffset>
              </wp:positionV>
              <wp:extent cx="6336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FC74B25" id="Straight Connector 13"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05pt,65.2pt" to="498.9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" strokecolor="#1cb899 [3208]" strokeweight=".5pt">
              <v:stroke joinstyle="miter"/>
              <w10:wrap anchorx="margin" anchory="margin"/>
            </v:line>
          </w:pict>
        </mc:Fallback>
      </mc:AlternateContent>
    </w:r>
    <w:r w:rsidRPr="006C6D66">
      <w:rPr>
        <w:noProof/>
        <w:sz w:val="16"/>
        <w:szCs w:val="16"/>
      </w:rPr>
      <w:drawing>
        <wp:anchor distT="0" distB="0" distL="114300" distR="114300" simplePos="0" relativeHeight="251658243" behindDoc="0" locked="0" layoutInCell="1" allowOverlap="1" wp14:anchorId="7EB5EC84" wp14:editId="7B596E2B">
          <wp:simplePos x="0" y="0"/>
          <wp:positionH relativeFrom="margin">
            <wp:align>right</wp:align>
          </wp:positionH>
          <wp:positionV relativeFrom="page">
            <wp:posOffset>450850</wp:posOffset>
          </wp:positionV>
          <wp:extent cx="1260000" cy="247057"/>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47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A5C" w:rsidRPr="006C6D66">
      <w:rPr>
        <w:rFonts w:ascii="Financier Display" w:hAnsi="Financier Display" w:cs="Segoe UI Semibold"/>
        <w:color w:val="006652" w:themeColor="accent1"/>
        <w:sz w:val="28"/>
        <w:szCs w:val="28"/>
      </w:rPr>
      <w:t>Evidential Sustainable</w:t>
    </w:r>
    <w:r w:rsidR="001E4D7F" w:rsidRPr="006C6D66">
      <w:rPr>
        <w:rFonts w:ascii="Financier Display" w:hAnsi="Financier Display" w:cs="Segoe UI Semibold"/>
        <w:color w:val="006652" w:themeColor="accent1"/>
        <w:sz w:val="28"/>
        <w:szCs w:val="28"/>
      </w:rPr>
      <w:t xml:space="preserve"> </w:t>
    </w:r>
    <w:r w:rsidR="00A06A5C" w:rsidRPr="006C6D66">
      <w:rPr>
        <w:rFonts w:ascii="Financier Display" w:hAnsi="Financier Display" w:cs="Segoe UI Semibold"/>
        <w:color w:val="006652" w:themeColor="accent1"/>
        <w:sz w:val="28"/>
        <w:szCs w:val="28"/>
      </w:rPr>
      <w:t>Global Bond 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73FC" w14:textId="782AA326" w:rsidR="001E4D7F" w:rsidRPr="00517834" w:rsidRDefault="001E4D7F" w:rsidP="001C6FEF">
    <w:pPr>
      <w:pStyle w:val="Header"/>
      <w:spacing w:line="400" w:lineRule="exact"/>
      <w:jc w:val="right"/>
      <w:rPr>
        <w:rFonts w:ascii="Financier Display" w:hAnsi="Financier Display" w:cs="Segoe UI Semibold"/>
        <w:sz w:val="20"/>
        <w:szCs w:val="20"/>
      </w:rPr>
    </w:pPr>
    <w:r w:rsidRPr="00517834">
      <w:rPr>
        <w:noProof/>
        <w:sz w:val="22"/>
      </w:rPr>
      <w:drawing>
        <wp:anchor distT="0" distB="0" distL="114300" distR="114300" simplePos="0" relativeHeight="251658244" behindDoc="0" locked="0" layoutInCell="1" allowOverlap="1" wp14:anchorId="6D1C4D3B" wp14:editId="313E5595">
          <wp:simplePos x="0" y="0"/>
          <wp:positionH relativeFrom="margin">
            <wp:align>left</wp:align>
          </wp:positionH>
          <wp:positionV relativeFrom="page">
            <wp:posOffset>538692</wp:posOffset>
          </wp:positionV>
          <wp:extent cx="1620000" cy="31680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4FE" w:rsidRPr="00517834">
      <w:rPr>
        <w:rFonts w:ascii="Financier Display" w:hAnsi="Financier Display" w:cs="Segoe UI Semibold"/>
        <w:color w:val="006652" w:themeColor="accent1"/>
        <w:sz w:val="40"/>
        <w:szCs w:val="40"/>
      </w:rPr>
      <w:t>Evidential Sustainable</w:t>
    </w:r>
    <w:r w:rsidR="00CA74FE" w:rsidRPr="00517834">
      <w:rPr>
        <w:rFonts w:ascii="Financier Display" w:hAnsi="Financier Display" w:cs="Segoe UI Semibold"/>
        <w:color w:val="006652" w:themeColor="accent1"/>
        <w:sz w:val="40"/>
        <w:szCs w:val="40"/>
      </w:rPr>
      <w:br/>
      <w:t>Global Bond Fund</w:t>
    </w:r>
  </w:p>
  <w:p w14:paraId="0DC7C382" w14:textId="77777777" w:rsidR="001E4D7F" w:rsidRDefault="001E4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EF3"/>
    <w:multiLevelType w:val="hybridMultilevel"/>
    <w:tmpl w:val="9C281FF0"/>
    <w:lvl w:ilvl="0" w:tplc="1409000F">
      <w:start w:val="1"/>
      <w:numFmt w:val="decimal"/>
      <w:lvlText w:val="%1."/>
      <w:lvlJc w:val="left"/>
      <w:pPr>
        <w:ind w:left="720" w:hanging="360"/>
      </w:pPr>
    </w:lvl>
    <w:lvl w:ilvl="1" w:tplc="987A2718">
      <w:numFmt w:val="bullet"/>
      <w:lvlText w:val="-"/>
      <w:lvlJc w:val="left"/>
      <w:pPr>
        <w:ind w:left="1440" w:hanging="360"/>
      </w:pPr>
      <w:rPr>
        <w:rFonts w:ascii="Segoe UI Light" w:eastAsiaTheme="minorHAnsi" w:hAnsi="Segoe UI Light" w:cs="Segoe UI Light"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C76C95"/>
    <w:multiLevelType w:val="hybridMultilevel"/>
    <w:tmpl w:val="03A88840"/>
    <w:lvl w:ilvl="0" w:tplc="4AC6FF76">
      <w:start w:val="1"/>
      <w:numFmt w:val="decimal"/>
      <w:lvlText w:val="%1."/>
      <w:lvlJc w:val="left"/>
      <w:pPr>
        <w:ind w:left="720" w:hanging="360"/>
      </w:pPr>
      <w:rPr>
        <w:rFonts w:hint="default"/>
        <w:color w:val="323232"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E23218"/>
    <w:multiLevelType w:val="hybridMultilevel"/>
    <w:tmpl w:val="A20C18A6"/>
    <w:lvl w:ilvl="0" w:tplc="FFFFFFFF">
      <w:start w:val="1"/>
      <w:numFmt w:val="decimal"/>
      <w:lvlText w:val="%1"/>
      <w:lvlJc w:val="left"/>
      <w:pPr>
        <w:ind w:left="720" w:hanging="360"/>
      </w:pPr>
      <w:rPr>
        <w:rFonts w:ascii="Segoe UI" w:hAnsi="Segoe UI" w:hint="default"/>
        <w:caps w:val="0"/>
        <w:strike w:val="0"/>
        <w:dstrike w:val="0"/>
        <w:vanish w:val="0"/>
        <w:vertAlign w:val="superscript"/>
      </w:rPr>
    </w:lvl>
    <w:lvl w:ilvl="1" w:tplc="25AED6B8">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DE3089"/>
    <w:multiLevelType w:val="hybridMultilevel"/>
    <w:tmpl w:val="2F44B0CA"/>
    <w:lvl w:ilvl="0" w:tplc="6540DAC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5D3F07"/>
    <w:multiLevelType w:val="hybridMultilevel"/>
    <w:tmpl w:val="DDDE5212"/>
    <w:lvl w:ilvl="0" w:tplc="75E8A6E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63564D2"/>
    <w:multiLevelType w:val="hybridMultilevel"/>
    <w:tmpl w:val="0730FEBC"/>
    <w:lvl w:ilvl="0" w:tplc="BEC62EAE">
      <w:numFmt w:val="bullet"/>
      <w:lvlText w:val="-"/>
      <w:lvlJc w:val="left"/>
      <w:pPr>
        <w:ind w:left="720" w:hanging="360"/>
      </w:pPr>
      <w:rPr>
        <w:rFonts w:ascii="Calibri" w:hAnsi="Calibri" w:hint="default"/>
        <w:caps w:val="0"/>
        <w:strike w:val="0"/>
        <w:dstrike w:val="0"/>
        <w:vanish w:val="0"/>
        <w:vertAlign w:val="baseline"/>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CA3C43"/>
    <w:multiLevelType w:val="hybridMultilevel"/>
    <w:tmpl w:val="EB20B748"/>
    <w:lvl w:ilvl="0" w:tplc="25AED6B8">
      <w:numFmt w:val="bullet"/>
      <w:lvlText w:val="-"/>
      <w:lvlJc w:val="left"/>
      <w:pPr>
        <w:ind w:left="720" w:hanging="360"/>
      </w:pPr>
      <w:rPr>
        <w:rFonts w:ascii="Calibri" w:eastAsiaTheme="minorHAnsi" w:hAnsi="Calibri" w:cs="Calibri" w:hint="default"/>
        <w:caps w:val="0"/>
        <w:strike w:val="0"/>
        <w:dstrike w:val="0"/>
        <w:vanish w:val="0"/>
        <w:vertAlign w:val="superscrip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526665"/>
    <w:multiLevelType w:val="hybridMultilevel"/>
    <w:tmpl w:val="F980302A"/>
    <w:lvl w:ilvl="0" w:tplc="BC767920">
      <w:start w:val="1"/>
      <w:numFmt w:val="decimal"/>
      <w:lvlText w:val="%1"/>
      <w:lvlJc w:val="left"/>
      <w:pPr>
        <w:ind w:left="720" w:hanging="360"/>
      </w:pPr>
      <w:rPr>
        <w:rFonts w:ascii="Segoe UI" w:hAnsi="Segoe UI" w:hint="default"/>
        <w:caps w:val="0"/>
        <w:strike w:val="0"/>
        <w:dstrike w:val="0"/>
        <w:vanish w:val="0"/>
        <w:vertAlign w:val="superscrip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B44834"/>
    <w:multiLevelType w:val="hybridMultilevel"/>
    <w:tmpl w:val="6694DA1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332374657">
    <w:abstractNumId w:val="1"/>
  </w:num>
  <w:num w:numId="2" w16cid:durableId="1581140204">
    <w:abstractNumId w:val="3"/>
  </w:num>
  <w:num w:numId="3" w16cid:durableId="955061426">
    <w:abstractNumId w:val="4"/>
  </w:num>
  <w:num w:numId="4" w16cid:durableId="1660116461">
    <w:abstractNumId w:val="8"/>
  </w:num>
  <w:num w:numId="5" w16cid:durableId="1797988790">
    <w:abstractNumId w:val="0"/>
  </w:num>
  <w:num w:numId="6" w16cid:durableId="295722182">
    <w:abstractNumId w:val="7"/>
  </w:num>
  <w:num w:numId="7" w16cid:durableId="2113938088">
    <w:abstractNumId w:val="2"/>
  </w:num>
  <w:num w:numId="8" w16cid:durableId="610667116">
    <w:abstractNumId w:val="6"/>
  </w:num>
  <w:num w:numId="9" w16cid:durableId="245498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5"/>
    <w:rsid w:val="0000117D"/>
    <w:rsid w:val="00001D9E"/>
    <w:rsid w:val="00001DAD"/>
    <w:rsid w:val="00004AFC"/>
    <w:rsid w:val="000067B4"/>
    <w:rsid w:val="00006986"/>
    <w:rsid w:val="00012929"/>
    <w:rsid w:val="00012CE6"/>
    <w:rsid w:val="0001434D"/>
    <w:rsid w:val="00015042"/>
    <w:rsid w:val="000159FD"/>
    <w:rsid w:val="000160A4"/>
    <w:rsid w:val="00016BFE"/>
    <w:rsid w:val="0002068B"/>
    <w:rsid w:val="00020790"/>
    <w:rsid w:val="0002318A"/>
    <w:rsid w:val="00023DE8"/>
    <w:rsid w:val="00023E7A"/>
    <w:rsid w:val="000246BF"/>
    <w:rsid w:val="00025882"/>
    <w:rsid w:val="00027124"/>
    <w:rsid w:val="000276A9"/>
    <w:rsid w:val="00027973"/>
    <w:rsid w:val="00027A9C"/>
    <w:rsid w:val="00030D5A"/>
    <w:rsid w:val="00032EC5"/>
    <w:rsid w:val="00034142"/>
    <w:rsid w:val="0003481C"/>
    <w:rsid w:val="0003547F"/>
    <w:rsid w:val="00035D1A"/>
    <w:rsid w:val="00040ADD"/>
    <w:rsid w:val="00040CD4"/>
    <w:rsid w:val="00040D25"/>
    <w:rsid w:val="00041582"/>
    <w:rsid w:val="00041B56"/>
    <w:rsid w:val="000435B3"/>
    <w:rsid w:val="0004449B"/>
    <w:rsid w:val="0004472F"/>
    <w:rsid w:val="00046F91"/>
    <w:rsid w:val="000472C5"/>
    <w:rsid w:val="000477BB"/>
    <w:rsid w:val="00047899"/>
    <w:rsid w:val="00050DE2"/>
    <w:rsid w:val="00052C89"/>
    <w:rsid w:val="000532F3"/>
    <w:rsid w:val="000544C6"/>
    <w:rsid w:val="0005477C"/>
    <w:rsid w:val="000550E4"/>
    <w:rsid w:val="00055FB5"/>
    <w:rsid w:val="000564F1"/>
    <w:rsid w:val="000567AE"/>
    <w:rsid w:val="00056FFE"/>
    <w:rsid w:val="00061928"/>
    <w:rsid w:val="00061C62"/>
    <w:rsid w:val="000626C9"/>
    <w:rsid w:val="00062B0A"/>
    <w:rsid w:val="00063143"/>
    <w:rsid w:val="0006321B"/>
    <w:rsid w:val="000637A4"/>
    <w:rsid w:val="000653BA"/>
    <w:rsid w:val="0006626C"/>
    <w:rsid w:val="00066316"/>
    <w:rsid w:val="00066B95"/>
    <w:rsid w:val="000704A6"/>
    <w:rsid w:val="00071101"/>
    <w:rsid w:val="00071615"/>
    <w:rsid w:val="00072FDA"/>
    <w:rsid w:val="0007388B"/>
    <w:rsid w:val="00075B63"/>
    <w:rsid w:val="00076A37"/>
    <w:rsid w:val="00080099"/>
    <w:rsid w:val="000803E7"/>
    <w:rsid w:val="00081A9D"/>
    <w:rsid w:val="00081F93"/>
    <w:rsid w:val="00082C8A"/>
    <w:rsid w:val="000844D5"/>
    <w:rsid w:val="00084C43"/>
    <w:rsid w:val="00085269"/>
    <w:rsid w:val="000862C0"/>
    <w:rsid w:val="00086653"/>
    <w:rsid w:val="00087198"/>
    <w:rsid w:val="000901D3"/>
    <w:rsid w:val="0009113A"/>
    <w:rsid w:val="00091343"/>
    <w:rsid w:val="00091865"/>
    <w:rsid w:val="00092592"/>
    <w:rsid w:val="0009266F"/>
    <w:rsid w:val="00092CA0"/>
    <w:rsid w:val="00092E34"/>
    <w:rsid w:val="00093BF9"/>
    <w:rsid w:val="00094F23"/>
    <w:rsid w:val="00095BD4"/>
    <w:rsid w:val="00096B4B"/>
    <w:rsid w:val="000A0957"/>
    <w:rsid w:val="000A09CB"/>
    <w:rsid w:val="000A0A60"/>
    <w:rsid w:val="000A17A4"/>
    <w:rsid w:val="000A2049"/>
    <w:rsid w:val="000A23BB"/>
    <w:rsid w:val="000A24C2"/>
    <w:rsid w:val="000A30EA"/>
    <w:rsid w:val="000A3A75"/>
    <w:rsid w:val="000A4EDC"/>
    <w:rsid w:val="000A58B2"/>
    <w:rsid w:val="000A7507"/>
    <w:rsid w:val="000B032A"/>
    <w:rsid w:val="000B0859"/>
    <w:rsid w:val="000B3818"/>
    <w:rsid w:val="000B3FCA"/>
    <w:rsid w:val="000B5A71"/>
    <w:rsid w:val="000B619D"/>
    <w:rsid w:val="000B7536"/>
    <w:rsid w:val="000B78B3"/>
    <w:rsid w:val="000C06A9"/>
    <w:rsid w:val="000C0D36"/>
    <w:rsid w:val="000C1F8C"/>
    <w:rsid w:val="000C2271"/>
    <w:rsid w:val="000C2DB5"/>
    <w:rsid w:val="000C3781"/>
    <w:rsid w:val="000C3EB8"/>
    <w:rsid w:val="000C43E9"/>
    <w:rsid w:val="000C61C1"/>
    <w:rsid w:val="000D014C"/>
    <w:rsid w:val="000D2BF6"/>
    <w:rsid w:val="000D33EF"/>
    <w:rsid w:val="000D3807"/>
    <w:rsid w:val="000D417D"/>
    <w:rsid w:val="000E1595"/>
    <w:rsid w:val="000E241B"/>
    <w:rsid w:val="000E26DE"/>
    <w:rsid w:val="000E2DD3"/>
    <w:rsid w:val="000E5A2A"/>
    <w:rsid w:val="000E5DCE"/>
    <w:rsid w:val="000E77E1"/>
    <w:rsid w:val="000E7B84"/>
    <w:rsid w:val="000F08C3"/>
    <w:rsid w:val="000F0F59"/>
    <w:rsid w:val="000F13DC"/>
    <w:rsid w:val="000F1CB1"/>
    <w:rsid w:val="000F2786"/>
    <w:rsid w:val="000F2E5B"/>
    <w:rsid w:val="000F3940"/>
    <w:rsid w:val="000F4B01"/>
    <w:rsid w:val="000F54E1"/>
    <w:rsid w:val="000F7A03"/>
    <w:rsid w:val="00100270"/>
    <w:rsid w:val="00103C84"/>
    <w:rsid w:val="0010464E"/>
    <w:rsid w:val="00105F74"/>
    <w:rsid w:val="001074BE"/>
    <w:rsid w:val="00112041"/>
    <w:rsid w:val="00112BA3"/>
    <w:rsid w:val="001132D8"/>
    <w:rsid w:val="00114CA9"/>
    <w:rsid w:val="00116987"/>
    <w:rsid w:val="00116B17"/>
    <w:rsid w:val="00117CDD"/>
    <w:rsid w:val="00120959"/>
    <w:rsid w:val="001218BC"/>
    <w:rsid w:val="001219E5"/>
    <w:rsid w:val="00121B48"/>
    <w:rsid w:val="00124296"/>
    <w:rsid w:val="001251AD"/>
    <w:rsid w:val="001258A0"/>
    <w:rsid w:val="00126926"/>
    <w:rsid w:val="001272B6"/>
    <w:rsid w:val="00127BE2"/>
    <w:rsid w:val="001309A7"/>
    <w:rsid w:val="001324B7"/>
    <w:rsid w:val="001327B0"/>
    <w:rsid w:val="00132984"/>
    <w:rsid w:val="00134F88"/>
    <w:rsid w:val="001364E3"/>
    <w:rsid w:val="001370B5"/>
    <w:rsid w:val="001374DB"/>
    <w:rsid w:val="00137B04"/>
    <w:rsid w:val="001401E7"/>
    <w:rsid w:val="0014063D"/>
    <w:rsid w:val="00140F14"/>
    <w:rsid w:val="00140F4A"/>
    <w:rsid w:val="001414CD"/>
    <w:rsid w:val="001416E8"/>
    <w:rsid w:val="001431DD"/>
    <w:rsid w:val="00144183"/>
    <w:rsid w:val="00144FB9"/>
    <w:rsid w:val="001463D9"/>
    <w:rsid w:val="00146812"/>
    <w:rsid w:val="001521DE"/>
    <w:rsid w:val="001525F1"/>
    <w:rsid w:val="001530ED"/>
    <w:rsid w:val="0015322D"/>
    <w:rsid w:val="00155920"/>
    <w:rsid w:val="00155C16"/>
    <w:rsid w:val="001562A7"/>
    <w:rsid w:val="00157336"/>
    <w:rsid w:val="00160150"/>
    <w:rsid w:val="00160C17"/>
    <w:rsid w:val="00161E23"/>
    <w:rsid w:val="00162046"/>
    <w:rsid w:val="00162249"/>
    <w:rsid w:val="001636B4"/>
    <w:rsid w:val="00163ED8"/>
    <w:rsid w:val="00164B4F"/>
    <w:rsid w:val="001652E7"/>
    <w:rsid w:val="001652FD"/>
    <w:rsid w:val="0016540F"/>
    <w:rsid w:val="0016670E"/>
    <w:rsid w:val="00166E17"/>
    <w:rsid w:val="00167964"/>
    <w:rsid w:val="00171F7D"/>
    <w:rsid w:val="00172898"/>
    <w:rsid w:val="00173B47"/>
    <w:rsid w:val="00173BFC"/>
    <w:rsid w:val="00175E64"/>
    <w:rsid w:val="00177610"/>
    <w:rsid w:val="00177D9B"/>
    <w:rsid w:val="00177DAA"/>
    <w:rsid w:val="00180F1A"/>
    <w:rsid w:val="001819E0"/>
    <w:rsid w:val="00181F09"/>
    <w:rsid w:val="00182106"/>
    <w:rsid w:val="0018237C"/>
    <w:rsid w:val="00182DD9"/>
    <w:rsid w:val="00182F54"/>
    <w:rsid w:val="0018361C"/>
    <w:rsid w:val="00183BD4"/>
    <w:rsid w:val="00184B1E"/>
    <w:rsid w:val="00185A21"/>
    <w:rsid w:val="00185EA5"/>
    <w:rsid w:val="00186A80"/>
    <w:rsid w:val="00187A10"/>
    <w:rsid w:val="001909F6"/>
    <w:rsid w:val="00190F09"/>
    <w:rsid w:val="00191500"/>
    <w:rsid w:val="00191A6B"/>
    <w:rsid w:val="00192671"/>
    <w:rsid w:val="00192DE7"/>
    <w:rsid w:val="001940F7"/>
    <w:rsid w:val="00194935"/>
    <w:rsid w:val="00196821"/>
    <w:rsid w:val="001A079F"/>
    <w:rsid w:val="001A0C23"/>
    <w:rsid w:val="001A1149"/>
    <w:rsid w:val="001A28FB"/>
    <w:rsid w:val="001A33D0"/>
    <w:rsid w:val="001A4AB4"/>
    <w:rsid w:val="001A4DAD"/>
    <w:rsid w:val="001A68D0"/>
    <w:rsid w:val="001A7075"/>
    <w:rsid w:val="001A7157"/>
    <w:rsid w:val="001A7C03"/>
    <w:rsid w:val="001B1712"/>
    <w:rsid w:val="001B18A4"/>
    <w:rsid w:val="001B207B"/>
    <w:rsid w:val="001B2288"/>
    <w:rsid w:val="001B23FE"/>
    <w:rsid w:val="001B3766"/>
    <w:rsid w:val="001B4659"/>
    <w:rsid w:val="001B542F"/>
    <w:rsid w:val="001B6612"/>
    <w:rsid w:val="001C002F"/>
    <w:rsid w:val="001C05A9"/>
    <w:rsid w:val="001C2753"/>
    <w:rsid w:val="001C29D5"/>
    <w:rsid w:val="001C4E75"/>
    <w:rsid w:val="001C5340"/>
    <w:rsid w:val="001C5E69"/>
    <w:rsid w:val="001C6CCB"/>
    <w:rsid w:val="001C6FEF"/>
    <w:rsid w:val="001D0C7A"/>
    <w:rsid w:val="001D13AD"/>
    <w:rsid w:val="001D2CCA"/>
    <w:rsid w:val="001D40A7"/>
    <w:rsid w:val="001D621E"/>
    <w:rsid w:val="001D73AD"/>
    <w:rsid w:val="001D7EAB"/>
    <w:rsid w:val="001E331E"/>
    <w:rsid w:val="001E3DB7"/>
    <w:rsid w:val="001E4D7F"/>
    <w:rsid w:val="001E7BBF"/>
    <w:rsid w:val="001F0658"/>
    <w:rsid w:val="001F0F3A"/>
    <w:rsid w:val="001F110E"/>
    <w:rsid w:val="001F1C2D"/>
    <w:rsid w:val="001F2B3D"/>
    <w:rsid w:val="001F4CD5"/>
    <w:rsid w:val="0020030E"/>
    <w:rsid w:val="002017C6"/>
    <w:rsid w:val="00202958"/>
    <w:rsid w:val="00203E10"/>
    <w:rsid w:val="00207858"/>
    <w:rsid w:val="00207EF7"/>
    <w:rsid w:val="00210930"/>
    <w:rsid w:val="00210A9F"/>
    <w:rsid w:val="0021118B"/>
    <w:rsid w:val="00211B47"/>
    <w:rsid w:val="00212EC5"/>
    <w:rsid w:val="0021316C"/>
    <w:rsid w:val="002131B0"/>
    <w:rsid w:val="00214D7B"/>
    <w:rsid w:val="00214FDD"/>
    <w:rsid w:val="00220312"/>
    <w:rsid w:val="002214A3"/>
    <w:rsid w:val="002223D1"/>
    <w:rsid w:val="002240E1"/>
    <w:rsid w:val="002243E1"/>
    <w:rsid w:val="00225366"/>
    <w:rsid w:val="00226D3B"/>
    <w:rsid w:val="00227658"/>
    <w:rsid w:val="00230132"/>
    <w:rsid w:val="00230E92"/>
    <w:rsid w:val="002310D1"/>
    <w:rsid w:val="002311CC"/>
    <w:rsid w:val="002318D1"/>
    <w:rsid w:val="00232EA9"/>
    <w:rsid w:val="002330CC"/>
    <w:rsid w:val="00234325"/>
    <w:rsid w:val="00234769"/>
    <w:rsid w:val="00234A8D"/>
    <w:rsid w:val="00234AA0"/>
    <w:rsid w:val="00234E30"/>
    <w:rsid w:val="002367E6"/>
    <w:rsid w:val="002377DD"/>
    <w:rsid w:val="00237DB7"/>
    <w:rsid w:val="00240D59"/>
    <w:rsid w:val="00240DCD"/>
    <w:rsid w:val="00242D6A"/>
    <w:rsid w:val="0024339A"/>
    <w:rsid w:val="00244410"/>
    <w:rsid w:val="00244B9D"/>
    <w:rsid w:val="002452AC"/>
    <w:rsid w:val="00245882"/>
    <w:rsid w:val="00247886"/>
    <w:rsid w:val="00250BE1"/>
    <w:rsid w:val="00251625"/>
    <w:rsid w:val="0025226C"/>
    <w:rsid w:val="00252920"/>
    <w:rsid w:val="00252BE2"/>
    <w:rsid w:val="00257E78"/>
    <w:rsid w:val="002600E3"/>
    <w:rsid w:val="00260B70"/>
    <w:rsid w:val="002616BE"/>
    <w:rsid w:val="00262140"/>
    <w:rsid w:val="00263120"/>
    <w:rsid w:val="002658C4"/>
    <w:rsid w:val="00265E37"/>
    <w:rsid w:val="00266281"/>
    <w:rsid w:val="00266911"/>
    <w:rsid w:val="00267339"/>
    <w:rsid w:val="00270B09"/>
    <w:rsid w:val="00270D02"/>
    <w:rsid w:val="002725F8"/>
    <w:rsid w:val="00272A37"/>
    <w:rsid w:val="00273092"/>
    <w:rsid w:val="0027309F"/>
    <w:rsid w:val="00273968"/>
    <w:rsid w:val="002739B3"/>
    <w:rsid w:val="00273A05"/>
    <w:rsid w:val="00273D98"/>
    <w:rsid w:val="00274E4A"/>
    <w:rsid w:val="0027585F"/>
    <w:rsid w:val="00275EB7"/>
    <w:rsid w:val="0027652A"/>
    <w:rsid w:val="0027709A"/>
    <w:rsid w:val="002771E5"/>
    <w:rsid w:val="00277EC4"/>
    <w:rsid w:val="00277FE2"/>
    <w:rsid w:val="00280F7F"/>
    <w:rsid w:val="002827B8"/>
    <w:rsid w:val="00283A86"/>
    <w:rsid w:val="00284AE4"/>
    <w:rsid w:val="00284CC2"/>
    <w:rsid w:val="002866F9"/>
    <w:rsid w:val="00286979"/>
    <w:rsid w:val="0028780B"/>
    <w:rsid w:val="00287C7C"/>
    <w:rsid w:val="00291020"/>
    <w:rsid w:val="00291028"/>
    <w:rsid w:val="00291689"/>
    <w:rsid w:val="00292E4D"/>
    <w:rsid w:val="00292F70"/>
    <w:rsid w:val="0029375D"/>
    <w:rsid w:val="002954E2"/>
    <w:rsid w:val="00295F1C"/>
    <w:rsid w:val="00297DB6"/>
    <w:rsid w:val="00297FF8"/>
    <w:rsid w:val="002A0EFC"/>
    <w:rsid w:val="002A0FE3"/>
    <w:rsid w:val="002A167B"/>
    <w:rsid w:val="002A251D"/>
    <w:rsid w:val="002B04C6"/>
    <w:rsid w:val="002B1CBE"/>
    <w:rsid w:val="002B2D70"/>
    <w:rsid w:val="002B382A"/>
    <w:rsid w:val="002B47FC"/>
    <w:rsid w:val="002B5003"/>
    <w:rsid w:val="002B570D"/>
    <w:rsid w:val="002B66FB"/>
    <w:rsid w:val="002B6993"/>
    <w:rsid w:val="002B7C8B"/>
    <w:rsid w:val="002C0C0E"/>
    <w:rsid w:val="002C16D0"/>
    <w:rsid w:val="002C2EBD"/>
    <w:rsid w:val="002C3182"/>
    <w:rsid w:val="002C3CCD"/>
    <w:rsid w:val="002C4472"/>
    <w:rsid w:val="002C5625"/>
    <w:rsid w:val="002C63FF"/>
    <w:rsid w:val="002C704C"/>
    <w:rsid w:val="002C762C"/>
    <w:rsid w:val="002D0355"/>
    <w:rsid w:val="002D2927"/>
    <w:rsid w:val="002D4C71"/>
    <w:rsid w:val="002D4F73"/>
    <w:rsid w:val="002D56AE"/>
    <w:rsid w:val="002D59B2"/>
    <w:rsid w:val="002E030C"/>
    <w:rsid w:val="002E3701"/>
    <w:rsid w:val="002E5C2A"/>
    <w:rsid w:val="002E7A91"/>
    <w:rsid w:val="002E7CD9"/>
    <w:rsid w:val="002F1EE3"/>
    <w:rsid w:val="002F353C"/>
    <w:rsid w:val="002F45CF"/>
    <w:rsid w:val="002F6A3E"/>
    <w:rsid w:val="002F7518"/>
    <w:rsid w:val="002F77C7"/>
    <w:rsid w:val="00300505"/>
    <w:rsid w:val="00300CFF"/>
    <w:rsid w:val="0030132A"/>
    <w:rsid w:val="0030228B"/>
    <w:rsid w:val="00302A85"/>
    <w:rsid w:val="00303B73"/>
    <w:rsid w:val="003040DC"/>
    <w:rsid w:val="0030453D"/>
    <w:rsid w:val="003047BC"/>
    <w:rsid w:val="00304909"/>
    <w:rsid w:val="0030494D"/>
    <w:rsid w:val="00304AD2"/>
    <w:rsid w:val="00305368"/>
    <w:rsid w:val="0030553C"/>
    <w:rsid w:val="003055DF"/>
    <w:rsid w:val="00306951"/>
    <w:rsid w:val="0030751E"/>
    <w:rsid w:val="003108C6"/>
    <w:rsid w:val="003108D3"/>
    <w:rsid w:val="00311CF2"/>
    <w:rsid w:val="0031279F"/>
    <w:rsid w:val="003131C0"/>
    <w:rsid w:val="00314B2A"/>
    <w:rsid w:val="00314CB8"/>
    <w:rsid w:val="00315A8C"/>
    <w:rsid w:val="00316D44"/>
    <w:rsid w:val="0032009B"/>
    <w:rsid w:val="003218F2"/>
    <w:rsid w:val="00322FB1"/>
    <w:rsid w:val="00323654"/>
    <w:rsid w:val="00323686"/>
    <w:rsid w:val="003239D1"/>
    <w:rsid w:val="00325617"/>
    <w:rsid w:val="00330E6D"/>
    <w:rsid w:val="00331D4D"/>
    <w:rsid w:val="00332F18"/>
    <w:rsid w:val="00334E98"/>
    <w:rsid w:val="00335579"/>
    <w:rsid w:val="003357C1"/>
    <w:rsid w:val="003406F0"/>
    <w:rsid w:val="00342F83"/>
    <w:rsid w:val="00343BB8"/>
    <w:rsid w:val="003442A2"/>
    <w:rsid w:val="00344321"/>
    <w:rsid w:val="003458B8"/>
    <w:rsid w:val="00346898"/>
    <w:rsid w:val="00351435"/>
    <w:rsid w:val="0035179A"/>
    <w:rsid w:val="003535CA"/>
    <w:rsid w:val="0035798D"/>
    <w:rsid w:val="00360E1A"/>
    <w:rsid w:val="00360EE9"/>
    <w:rsid w:val="00362FDC"/>
    <w:rsid w:val="00363ADB"/>
    <w:rsid w:val="003646E4"/>
    <w:rsid w:val="00364C2B"/>
    <w:rsid w:val="00365C02"/>
    <w:rsid w:val="00365D61"/>
    <w:rsid w:val="00366366"/>
    <w:rsid w:val="003669F7"/>
    <w:rsid w:val="00367FBC"/>
    <w:rsid w:val="003702F1"/>
    <w:rsid w:val="0037054F"/>
    <w:rsid w:val="00370811"/>
    <w:rsid w:val="00371982"/>
    <w:rsid w:val="00371BE2"/>
    <w:rsid w:val="00371D94"/>
    <w:rsid w:val="00374B05"/>
    <w:rsid w:val="003756DF"/>
    <w:rsid w:val="00375D5F"/>
    <w:rsid w:val="00375F55"/>
    <w:rsid w:val="003770B7"/>
    <w:rsid w:val="003807F3"/>
    <w:rsid w:val="00380D9F"/>
    <w:rsid w:val="0038115E"/>
    <w:rsid w:val="00381A0E"/>
    <w:rsid w:val="00382661"/>
    <w:rsid w:val="003828B3"/>
    <w:rsid w:val="00383952"/>
    <w:rsid w:val="00383B82"/>
    <w:rsid w:val="003847F9"/>
    <w:rsid w:val="00384963"/>
    <w:rsid w:val="00384BAB"/>
    <w:rsid w:val="00384D15"/>
    <w:rsid w:val="00385C2B"/>
    <w:rsid w:val="00385F35"/>
    <w:rsid w:val="0038664D"/>
    <w:rsid w:val="00387DC2"/>
    <w:rsid w:val="00390A96"/>
    <w:rsid w:val="00391E6E"/>
    <w:rsid w:val="00392AF9"/>
    <w:rsid w:val="00393973"/>
    <w:rsid w:val="003960E2"/>
    <w:rsid w:val="0039635B"/>
    <w:rsid w:val="003973B8"/>
    <w:rsid w:val="003A0BC4"/>
    <w:rsid w:val="003A1BD2"/>
    <w:rsid w:val="003A1FBC"/>
    <w:rsid w:val="003A4141"/>
    <w:rsid w:val="003A4402"/>
    <w:rsid w:val="003A5F2F"/>
    <w:rsid w:val="003A670E"/>
    <w:rsid w:val="003A6730"/>
    <w:rsid w:val="003A7429"/>
    <w:rsid w:val="003B0F99"/>
    <w:rsid w:val="003B1DBD"/>
    <w:rsid w:val="003B223E"/>
    <w:rsid w:val="003B23DD"/>
    <w:rsid w:val="003B25BC"/>
    <w:rsid w:val="003B2AA2"/>
    <w:rsid w:val="003B3EED"/>
    <w:rsid w:val="003B5498"/>
    <w:rsid w:val="003B6454"/>
    <w:rsid w:val="003B7B4C"/>
    <w:rsid w:val="003B7B9F"/>
    <w:rsid w:val="003C2793"/>
    <w:rsid w:val="003C27C4"/>
    <w:rsid w:val="003C458D"/>
    <w:rsid w:val="003C4F17"/>
    <w:rsid w:val="003C5256"/>
    <w:rsid w:val="003C5827"/>
    <w:rsid w:val="003C62FC"/>
    <w:rsid w:val="003C65EF"/>
    <w:rsid w:val="003C722C"/>
    <w:rsid w:val="003D0C38"/>
    <w:rsid w:val="003D210B"/>
    <w:rsid w:val="003D27D7"/>
    <w:rsid w:val="003D3029"/>
    <w:rsid w:val="003D3965"/>
    <w:rsid w:val="003D62A8"/>
    <w:rsid w:val="003D64EA"/>
    <w:rsid w:val="003D664A"/>
    <w:rsid w:val="003D74F7"/>
    <w:rsid w:val="003D7EB1"/>
    <w:rsid w:val="003E2A73"/>
    <w:rsid w:val="003E2C69"/>
    <w:rsid w:val="003E2FA7"/>
    <w:rsid w:val="003E4729"/>
    <w:rsid w:val="003E6E94"/>
    <w:rsid w:val="003E71C6"/>
    <w:rsid w:val="003E7DAA"/>
    <w:rsid w:val="003F052E"/>
    <w:rsid w:val="003F0942"/>
    <w:rsid w:val="003F1C1A"/>
    <w:rsid w:val="003F3252"/>
    <w:rsid w:val="003F35D2"/>
    <w:rsid w:val="003F361F"/>
    <w:rsid w:val="003F3C8C"/>
    <w:rsid w:val="003F44EE"/>
    <w:rsid w:val="003F48BA"/>
    <w:rsid w:val="003F5A82"/>
    <w:rsid w:val="003F5D51"/>
    <w:rsid w:val="003F74E0"/>
    <w:rsid w:val="004001AB"/>
    <w:rsid w:val="00400BA0"/>
    <w:rsid w:val="00401185"/>
    <w:rsid w:val="004012E6"/>
    <w:rsid w:val="004014DE"/>
    <w:rsid w:val="004034A5"/>
    <w:rsid w:val="004036EF"/>
    <w:rsid w:val="004046F4"/>
    <w:rsid w:val="004108C5"/>
    <w:rsid w:val="00410B7E"/>
    <w:rsid w:val="00411620"/>
    <w:rsid w:val="004128EE"/>
    <w:rsid w:val="00412D5C"/>
    <w:rsid w:val="004144E6"/>
    <w:rsid w:val="00415A11"/>
    <w:rsid w:val="004165A2"/>
    <w:rsid w:val="00416967"/>
    <w:rsid w:val="0041697C"/>
    <w:rsid w:val="00417DC5"/>
    <w:rsid w:val="00417E45"/>
    <w:rsid w:val="00420473"/>
    <w:rsid w:val="00420598"/>
    <w:rsid w:val="00421B62"/>
    <w:rsid w:val="004222E3"/>
    <w:rsid w:val="004226DE"/>
    <w:rsid w:val="00422A63"/>
    <w:rsid w:val="004238D1"/>
    <w:rsid w:val="004256CF"/>
    <w:rsid w:val="00425A8C"/>
    <w:rsid w:val="00425F61"/>
    <w:rsid w:val="00426871"/>
    <w:rsid w:val="004272F8"/>
    <w:rsid w:val="004274CC"/>
    <w:rsid w:val="004279C9"/>
    <w:rsid w:val="00427B8E"/>
    <w:rsid w:val="00430673"/>
    <w:rsid w:val="004335F7"/>
    <w:rsid w:val="00433611"/>
    <w:rsid w:val="0043377F"/>
    <w:rsid w:val="0043448C"/>
    <w:rsid w:val="00435195"/>
    <w:rsid w:val="0043525A"/>
    <w:rsid w:val="00435330"/>
    <w:rsid w:val="00435714"/>
    <w:rsid w:val="004359B8"/>
    <w:rsid w:val="00436424"/>
    <w:rsid w:val="004364A6"/>
    <w:rsid w:val="0043745F"/>
    <w:rsid w:val="00437745"/>
    <w:rsid w:val="00437783"/>
    <w:rsid w:val="00437F22"/>
    <w:rsid w:val="00440088"/>
    <w:rsid w:val="004404A6"/>
    <w:rsid w:val="004407E1"/>
    <w:rsid w:val="00440BA5"/>
    <w:rsid w:val="00440FEF"/>
    <w:rsid w:val="00442538"/>
    <w:rsid w:val="004428A0"/>
    <w:rsid w:val="004439CC"/>
    <w:rsid w:val="00445C12"/>
    <w:rsid w:val="004460BF"/>
    <w:rsid w:val="004466AF"/>
    <w:rsid w:val="0045101E"/>
    <w:rsid w:val="0045136F"/>
    <w:rsid w:val="004513EA"/>
    <w:rsid w:val="00451932"/>
    <w:rsid w:val="004536F8"/>
    <w:rsid w:val="0045554E"/>
    <w:rsid w:val="004559DC"/>
    <w:rsid w:val="00456781"/>
    <w:rsid w:val="00460F3C"/>
    <w:rsid w:val="004623C0"/>
    <w:rsid w:val="004634FE"/>
    <w:rsid w:val="00463794"/>
    <w:rsid w:val="00463EA2"/>
    <w:rsid w:val="0046424C"/>
    <w:rsid w:val="004646EB"/>
    <w:rsid w:val="00464A25"/>
    <w:rsid w:val="00464C8F"/>
    <w:rsid w:val="00470BEE"/>
    <w:rsid w:val="00471983"/>
    <w:rsid w:val="00472D0C"/>
    <w:rsid w:val="004738CF"/>
    <w:rsid w:val="004752AC"/>
    <w:rsid w:val="00475314"/>
    <w:rsid w:val="00476B1C"/>
    <w:rsid w:val="0048071B"/>
    <w:rsid w:val="00480973"/>
    <w:rsid w:val="00480DF1"/>
    <w:rsid w:val="00480EC8"/>
    <w:rsid w:val="00480F4B"/>
    <w:rsid w:val="004811E2"/>
    <w:rsid w:val="0048176B"/>
    <w:rsid w:val="004817DD"/>
    <w:rsid w:val="00481A99"/>
    <w:rsid w:val="004827D2"/>
    <w:rsid w:val="00482B73"/>
    <w:rsid w:val="0048412C"/>
    <w:rsid w:val="00485B30"/>
    <w:rsid w:val="00486AB1"/>
    <w:rsid w:val="00487A6A"/>
    <w:rsid w:val="0049131C"/>
    <w:rsid w:val="00491665"/>
    <w:rsid w:val="00491CAD"/>
    <w:rsid w:val="004923D5"/>
    <w:rsid w:val="0049244F"/>
    <w:rsid w:val="004925B9"/>
    <w:rsid w:val="0049290F"/>
    <w:rsid w:val="00493775"/>
    <w:rsid w:val="004948A5"/>
    <w:rsid w:val="00495E58"/>
    <w:rsid w:val="00495F0C"/>
    <w:rsid w:val="00497068"/>
    <w:rsid w:val="0049708B"/>
    <w:rsid w:val="0049726C"/>
    <w:rsid w:val="004976BD"/>
    <w:rsid w:val="00497F26"/>
    <w:rsid w:val="004A1827"/>
    <w:rsid w:val="004A3AA3"/>
    <w:rsid w:val="004A43E3"/>
    <w:rsid w:val="004A503C"/>
    <w:rsid w:val="004A506B"/>
    <w:rsid w:val="004A5B8D"/>
    <w:rsid w:val="004B101E"/>
    <w:rsid w:val="004B19BC"/>
    <w:rsid w:val="004B2B8A"/>
    <w:rsid w:val="004B2D1F"/>
    <w:rsid w:val="004B2E7F"/>
    <w:rsid w:val="004B30DF"/>
    <w:rsid w:val="004B4BE7"/>
    <w:rsid w:val="004B5BA7"/>
    <w:rsid w:val="004B7C0D"/>
    <w:rsid w:val="004C00AD"/>
    <w:rsid w:val="004C00DA"/>
    <w:rsid w:val="004C0224"/>
    <w:rsid w:val="004C4AFB"/>
    <w:rsid w:val="004C502F"/>
    <w:rsid w:val="004C6944"/>
    <w:rsid w:val="004C778F"/>
    <w:rsid w:val="004C797F"/>
    <w:rsid w:val="004C7AEA"/>
    <w:rsid w:val="004C7CDB"/>
    <w:rsid w:val="004D00DA"/>
    <w:rsid w:val="004D2FA5"/>
    <w:rsid w:val="004D30AC"/>
    <w:rsid w:val="004D44DA"/>
    <w:rsid w:val="004D48A9"/>
    <w:rsid w:val="004D6E22"/>
    <w:rsid w:val="004D7974"/>
    <w:rsid w:val="004D7B8F"/>
    <w:rsid w:val="004D7C36"/>
    <w:rsid w:val="004E0292"/>
    <w:rsid w:val="004E1771"/>
    <w:rsid w:val="004E1786"/>
    <w:rsid w:val="004E1906"/>
    <w:rsid w:val="004E25B5"/>
    <w:rsid w:val="004E3934"/>
    <w:rsid w:val="004E39E7"/>
    <w:rsid w:val="004E4564"/>
    <w:rsid w:val="004E4D26"/>
    <w:rsid w:val="004E5A1F"/>
    <w:rsid w:val="004E5DE1"/>
    <w:rsid w:val="004E6BB7"/>
    <w:rsid w:val="004F200A"/>
    <w:rsid w:val="004F2A4A"/>
    <w:rsid w:val="004F2B72"/>
    <w:rsid w:val="004F30BA"/>
    <w:rsid w:val="004F37AC"/>
    <w:rsid w:val="004F51DB"/>
    <w:rsid w:val="004F5C35"/>
    <w:rsid w:val="004F73E9"/>
    <w:rsid w:val="004F745A"/>
    <w:rsid w:val="004F7E38"/>
    <w:rsid w:val="00502958"/>
    <w:rsid w:val="00503FA7"/>
    <w:rsid w:val="005054DD"/>
    <w:rsid w:val="0050754C"/>
    <w:rsid w:val="00510903"/>
    <w:rsid w:val="00514764"/>
    <w:rsid w:val="00517834"/>
    <w:rsid w:val="00517EEC"/>
    <w:rsid w:val="0052335B"/>
    <w:rsid w:val="00527C6E"/>
    <w:rsid w:val="00527CC0"/>
    <w:rsid w:val="00530BAE"/>
    <w:rsid w:val="00531654"/>
    <w:rsid w:val="005325C9"/>
    <w:rsid w:val="00532DBB"/>
    <w:rsid w:val="0053471C"/>
    <w:rsid w:val="005348DA"/>
    <w:rsid w:val="00536025"/>
    <w:rsid w:val="005360C3"/>
    <w:rsid w:val="005367C2"/>
    <w:rsid w:val="00536C8F"/>
    <w:rsid w:val="00536EBC"/>
    <w:rsid w:val="005371EA"/>
    <w:rsid w:val="005418DE"/>
    <w:rsid w:val="005426F5"/>
    <w:rsid w:val="00542756"/>
    <w:rsid w:val="0054276E"/>
    <w:rsid w:val="00542F3D"/>
    <w:rsid w:val="0054451F"/>
    <w:rsid w:val="0054499E"/>
    <w:rsid w:val="00544D04"/>
    <w:rsid w:val="00544E83"/>
    <w:rsid w:val="005452CC"/>
    <w:rsid w:val="0054661E"/>
    <w:rsid w:val="00547EC8"/>
    <w:rsid w:val="00550005"/>
    <w:rsid w:val="0055152F"/>
    <w:rsid w:val="00551A91"/>
    <w:rsid w:val="00553F21"/>
    <w:rsid w:val="00554069"/>
    <w:rsid w:val="00554608"/>
    <w:rsid w:val="005546A7"/>
    <w:rsid w:val="00554704"/>
    <w:rsid w:val="0055636C"/>
    <w:rsid w:val="00556995"/>
    <w:rsid w:val="00556FEC"/>
    <w:rsid w:val="0055705A"/>
    <w:rsid w:val="00560296"/>
    <w:rsid w:val="00560F76"/>
    <w:rsid w:val="00561758"/>
    <w:rsid w:val="00561CE1"/>
    <w:rsid w:val="00561D5F"/>
    <w:rsid w:val="00561E99"/>
    <w:rsid w:val="00562CB9"/>
    <w:rsid w:val="00562CC1"/>
    <w:rsid w:val="00565539"/>
    <w:rsid w:val="00565F42"/>
    <w:rsid w:val="005668EA"/>
    <w:rsid w:val="0056751B"/>
    <w:rsid w:val="0056783A"/>
    <w:rsid w:val="00570466"/>
    <w:rsid w:val="00570A2F"/>
    <w:rsid w:val="005712AC"/>
    <w:rsid w:val="005716BB"/>
    <w:rsid w:val="005723AF"/>
    <w:rsid w:val="00572AE8"/>
    <w:rsid w:val="00572B85"/>
    <w:rsid w:val="00572E0D"/>
    <w:rsid w:val="00574DAF"/>
    <w:rsid w:val="00576025"/>
    <w:rsid w:val="005768A1"/>
    <w:rsid w:val="00577947"/>
    <w:rsid w:val="005803E6"/>
    <w:rsid w:val="005808F5"/>
    <w:rsid w:val="00582ACB"/>
    <w:rsid w:val="00582E5D"/>
    <w:rsid w:val="00583FB6"/>
    <w:rsid w:val="005849BE"/>
    <w:rsid w:val="00585AB3"/>
    <w:rsid w:val="00585E5A"/>
    <w:rsid w:val="005868CC"/>
    <w:rsid w:val="00591CC6"/>
    <w:rsid w:val="005927A2"/>
    <w:rsid w:val="0059290E"/>
    <w:rsid w:val="00592AA3"/>
    <w:rsid w:val="005939B2"/>
    <w:rsid w:val="0059413F"/>
    <w:rsid w:val="005951FC"/>
    <w:rsid w:val="0059636B"/>
    <w:rsid w:val="00596FEA"/>
    <w:rsid w:val="00597F0F"/>
    <w:rsid w:val="005A0233"/>
    <w:rsid w:val="005A06D9"/>
    <w:rsid w:val="005A1207"/>
    <w:rsid w:val="005A12F6"/>
    <w:rsid w:val="005A3ABD"/>
    <w:rsid w:val="005A41C1"/>
    <w:rsid w:val="005A4673"/>
    <w:rsid w:val="005A5C12"/>
    <w:rsid w:val="005A61D3"/>
    <w:rsid w:val="005A6B08"/>
    <w:rsid w:val="005A733B"/>
    <w:rsid w:val="005A7843"/>
    <w:rsid w:val="005A78A1"/>
    <w:rsid w:val="005A7BC1"/>
    <w:rsid w:val="005A7E7D"/>
    <w:rsid w:val="005B06CD"/>
    <w:rsid w:val="005B1313"/>
    <w:rsid w:val="005B2539"/>
    <w:rsid w:val="005B356C"/>
    <w:rsid w:val="005B4D8C"/>
    <w:rsid w:val="005B52FE"/>
    <w:rsid w:val="005B569C"/>
    <w:rsid w:val="005B59B9"/>
    <w:rsid w:val="005B6027"/>
    <w:rsid w:val="005B6800"/>
    <w:rsid w:val="005B796A"/>
    <w:rsid w:val="005B7DFA"/>
    <w:rsid w:val="005C0C93"/>
    <w:rsid w:val="005C11ED"/>
    <w:rsid w:val="005C3608"/>
    <w:rsid w:val="005C4493"/>
    <w:rsid w:val="005C676F"/>
    <w:rsid w:val="005C6D63"/>
    <w:rsid w:val="005C6E8B"/>
    <w:rsid w:val="005D0433"/>
    <w:rsid w:val="005D1B9A"/>
    <w:rsid w:val="005D1C77"/>
    <w:rsid w:val="005D2B95"/>
    <w:rsid w:val="005D3DB0"/>
    <w:rsid w:val="005D42A1"/>
    <w:rsid w:val="005D5E28"/>
    <w:rsid w:val="005D7DD2"/>
    <w:rsid w:val="005E0336"/>
    <w:rsid w:val="005E11F3"/>
    <w:rsid w:val="005E1804"/>
    <w:rsid w:val="005E2D30"/>
    <w:rsid w:val="005E3A09"/>
    <w:rsid w:val="005E50F6"/>
    <w:rsid w:val="005E5835"/>
    <w:rsid w:val="005E5B31"/>
    <w:rsid w:val="005F0E2D"/>
    <w:rsid w:val="005F1CE5"/>
    <w:rsid w:val="005F1F6C"/>
    <w:rsid w:val="005F21F9"/>
    <w:rsid w:val="005F2978"/>
    <w:rsid w:val="005F36F6"/>
    <w:rsid w:val="005F4F12"/>
    <w:rsid w:val="005F53CF"/>
    <w:rsid w:val="005F5DB3"/>
    <w:rsid w:val="005F63C2"/>
    <w:rsid w:val="005F63F8"/>
    <w:rsid w:val="005F75A7"/>
    <w:rsid w:val="006004B6"/>
    <w:rsid w:val="0060094D"/>
    <w:rsid w:val="0060127D"/>
    <w:rsid w:val="00601999"/>
    <w:rsid w:val="006045A4"/>
    <w:rsid w:val="00604E07"/>
    <w:rsid w:val="00605F68"/>
    <w:rsid w:val="00606A6A"/>
    <w:rsid w:val="00606AE3"/>
    <w:rsid w:val="00607B2E"/>
    <w:rsid w:val="00610224"/>
    <w:rsid w:val="00612D1C"/>
    <w:rsid w:val="00612E02"/>
    <w:rsid w:val="00613706"/>
    <w:rsid w:val="00614884"/>
    <w:rsid w:val="00615E6B"/>
    <w:rsid w:val="006168FF"/>
    <w:rsid w:val="00617AD6"/>
    <w:rsid w:val="00620A31"/>
    <w:rsid w:val="00621B9F"/>
    <w:rsid w:val="00622594"/>
    <w:rsid w:val="006233BB"/>
    <w:rsid w:val="00623CEF"/>
    <w:rsid w:val="00624932"/>
    <w:rsid w:val="00626660"/>
    <w:rsid w:val="0062763B"/>
    <w:rsid w:val="00627C6B"/>
    <w:rsid w:val="00630D11"/>
    <w:rsid w:val="00632F90"/>
    <w:rsid w:val="006336EE"/>
    <w:rsid w:val="006339BB"/>
    <w:rsid w:val="00633A39"/>
    <w:rsid w:val="00633B48"/>
    <w:rsid w:val="00634172"/>
    <w:rsid w:val="00635F10"/>
    <w:rsid w:val="0063625E"/>
    <w:rsid w:val="006362C0"/>
    <w:rsid w:val="006365F4"/>
    <w:rsid w:val="00640AAD"/>
    <w:rsid w:val="00641D45"/>
    <w:rsid w:val="00644606"/>
    <w:rsid w:val="00644EF0"/>
    <w:rsid w:val="0064664F"/>
    <w:rsid w:val="00646893"/>
    <w:rsid w:val="006468CB"/>
    <w:rsid w:val="00646CD3"/>
    <w:rsid w:val="00646DF1"/>
    <w:rsid w:val="00647F06"/>
    <w:rsid w:val="00650781"/>
    <w:rsid w:val="00650C5C"/>
    <w:rsid w:val="00654AEB"/>
    <w:rsid w:val="00656C05"/>
    <w:rsid w:val="00657728"/>
    <w:rsid w:val="00657FF7"/>
    <w:rsid w:val="006612AD"/>
    <w:rsid w:val="00661DCF"/>
    <w:rsid w:val="00662920"/>
    <w:rsid w:val="006647DE"/>
    <w:rsid w:val="00665091"/>
    <w:rsid w:val="00665416"/>
    <w:rsid w:val="006679C3"/>
    <w:rsid w:val="006700EE"/>
    <w:rsid w:val="00672EA9"/>
    <w:rsid w:val="006732D8"/>
    <w:rsid w:val="00673FAD"/>
    <w:rsid w:val="006744E4"/>
    <w:rsid w:val="00674C04"/>
    <w:rsid w:val="00677E15"/>
    <w:rsid w:val="006805A5"/>
    <w:rsid w:val="00682089"/>
    <w:rsid w:val="0068259E"/>
    <w:rsid w:val="00682B0F"/>
    <w:rsid w:val="0068302E"/>
    <w:rsid w:val="00683265"/>
    <w:rsid w:val="00684204"/>
    <w:rsid w:val="0068431C"/>
    <w:rsid w:val="00687E2F"/>
    <w:rsid w:val="006906D5"/>
    <w:rsid w:val="00690FAA"/>
    <w:rsid w:val="00691002"/>
    <w:rsid w:val="00692A59"/>
    <w:rsid w:val="00693B12"/>
    <w:rsid w:val="00694449"/>
    <w:rsid w:val="00694F31"/>
    <w:rsid w:val="00695270"/>
    <w:rsid w:val="00696CDB"/>
    <w:rsid w:val="006A101E"/>
    <w:rsid w:val="006A188F"/>
    <w:rsid w:val="006A220A"/>
    <w:rsid w:val="006A3069"/>
    <w:rsid w:val="006A4365"/>
    <w:rsid w:val="006A477D"/>
    <w:rsid w:val="006A5AE6"/>
    <w:rsid w:val="006A7EFD"/>
    <w:rsid w:val="006B14B4"/>
    <w:rsid w:val="006B1887"/>
    <w:rsid w:val="006B2510"/>
    <w:rsid w:val="006B3C78"/>
    <w:rsid w:val="006B4675"/>
    <w:rsid w:val="006B4841"/>
    <w:rsid w:val="006B4975"/>
    <w:rsid w:val="006B6266"/>
    <w:rsid w:val="006B7F91"/>
    <w:rsid w:val="006C2B5F"/>
    <w:rsid w:val="006C3127"/>
    <w:rsid w:val="006C34D9"/>
    <w:rsid w:val="006C3725"/>
    <w:rsid w:val="006C59EC"/>
    <w:rsid w:val="006C608C"/>
    <w:rsid w:val="006C64F2"/>
    <w:rsid w:val="006C6D66"/>
    <w:rsid w:val="006C6D6D"/>
    <w:rsid w:val="006C7EEC"/>
    <w:rsid w:val="006D0B03"/>
    <w:rsid w:val="006D148E"/>
    <w:rsid w:val="006D18C6"/>
    <w:rsid w:val="006D3A9B"/>
    <w:rsid w:val="006D3BD4"/>
    <w:rsid w:val="006D41F4"/>
    <w:rsid w:val="006D7438"/>
    <w:rsid w:val="006D745A"/>
    <w:rsid w:val="006D75EC"/>
    <w:rsid w:val="006D798A"/>
    <w:rsid w:val="006D7DB9"/>
    <w:rsid w:val="006E3608"/>
    <w:rsid w:val="006E3709"/>
    <w:rsid w:val="006E3948"/>
    <w:rsid w:val="006E62AD"/>
    <w:rsid w:val="006E70E1"/>
    <w:rsid w:val="006E7142"/>
    <w:rsid w:val="006F1588"/>
    <w:rsid w:val="006F1C60"/>
    <w:rsid w:val="006F20F7"/>
    <w:rsid w:val="006F38B5"/>
    <w:rsid w:val="006F4ED2"/>
    <w:rsid w:val="006F52B8"/>
    <w:rsid w:val="006F5F90"/>
    <w:rsid w:val="006F6BA8"/>
    <w:rsid w:val="006F75B7"/>
    <w:rsid w:val="006F7DC3"/>
    <w:rsid w:val="0070010E"/>
    <w:rsid w:val="00700286"/>
    <w:rsid w:val="007011F2"/>
    <w:rsid w:val="00701CFC"/>
    <w:rsid w:val="0070218F"/>
    <w:rsid w:val="007033AA"/>
    <w:rsid w:val="00703B96"/>
    <w:rsid w:val="00704341"/>
    <w:rsid w:val="00704446"/>
    <w:rsid w:val="00705F73"/>
    <w:rsid w:val="00706CF2"/>
    <w:rsid w:val="00707D0A"/>
    <w:rsid w:val="007104E6"/>
    <w:rsid w:val="00710CEE"/>
    <w:rsid w:val="0071291B"/>
    <w:rsid w:val="0071333C"/>
    <w:rsid w:val="00713713"/>
    <w:rsid w:val="007140DE"/>
    <w:rsid w:val="00715400"/>
    <w:rsid w:val="007157BB"/>
    <w:rsid w:val="00715AC6"/>
    <w:rsid w:val="00716308"/>
    <w:rsid w:val="007174A1"/>
    <w:rsid w:val="0072079D"/>
    <w:rsid w:val="00721CB7"/>
    <w:rsid w:val="007233B4"/>
    <w:rsid w:val="007234A5"/>
    <w:rsid w:val="00723740"/>
    <w:rsid w:val="00723806"/>
    <w:rsid w:val="007238AE"/>
    <w:rsid w:val="00726E8E"/>
    <w:rsid w:val="007275A4"/>
    <w:rsid w:val="007275EC"/>
    <w:rsid w:val="007312AA"/>
    <w:rsid w:val="00731A90"/>
    <w:rsid w:val="00732426"/>
    <w:rsid w:val="00732843"/>
    <w:rsid w:val="00733113"/>
    <w:rsid w:val="00733168"/>
    <w:rsid w:val="0073377A"/>
    <w:rsid w:val="00733919"/>
    <w:rsid w:val="00733B66"/>
    <w:rsid w:val="00733CB7"/>
    <w:rsid w:val="00733FE7"/>
    <w:rsid w:val="00735FA7"/>
    <w:rsid w:val="0073649D"/>
    <w:rsid w:val="00737D29"/>
    <w:rsid w:val="0074027C"/>
    <w:rsid w:val="00741A17"/>
    <w:rsid w:val="007422F7"/>
    <w:rsid w:val="00743399"/>
    <w:rsid w:val="00744AEC"/>
    <w:rsid w:val="007461E6"/>
    <w:rsid w:val="00746533"/>
    <w:rsid w:val="007468AE"/>
    <w:rsid w:val="007473C0"/>
    <w:rsid w:val="007475B6"/>
    <w:rsid w:val="00747794"/>
    <w:rsid w:val="0074796A"/>
    <w:rsid w:val="00751871"/>
    <w:rsid w:val="007520F8"/>
    <w:rsid w:val="00753261"/>
    <w:rsid w:val="007548C4"/>
    <w:rsid w:val="0075687F"/>
    <w:rsid w:val="00756929"/>
    <w:rsid w:val="00756D84"/>
    <w:rsid w:val="00756F4A"/>
    <w:rsid w:val="007573A4"/>
    <w:rsid w:val="00757BDD"/>
    <w:rsid w:val="00761947"/>
    <w:rsid w:val="007619FA"/>
    <w:rsid w:val="00762324"/>
    <w:rsid w:val="007634B5"/>
    <w:rsid w:val="007644E3"/>
    <w:rsid w:val="00766116"/>
    <w:rsid w:val="00766692"/>
    <w:rsid w:val="00766E09"/>
    <w:rsid w:val="007700CF"/>
    <w:rsid w:val="00770608"/>
    <w:rsid w:val="00776BE5"/>
    <w:rsid w:val="0077706D"/>
    <w:rsid w:val="007772F4"/>
    <w:rsid w:val="00777364"/>
    <w:rsid w:val="007776F1"/>
    <w:rsid w:val="007779C0"/>
    <w:rsid w:val="00780844"/>
    <w:rsid w:val="00780B29"/>
    <w:rsid w:val="00782191"/>
    <w:rsid w:val="007825F8"/>
    <w:rsid w:val="00783E71"/>
    <w:rsid w:val="007843A4"/>
    <w:rsid w:val="007844D4"/>
    <w:rsid w:val="00784688"/>
    <w:rsid w:val="00784FC8"/>
    <w:rsid w:val="00785931"/>
    <w:rsid w:val="00785989"/>
    <w:rsid w:val="0078669D"/>
    <w:rsid w:val="00787E14"/>
    <w:rsid w:val="00790F15"/>
    <w:rsid w:val="00792501"/>
    <w:rsid w:val="00793673"/>
    <w:rsid w:val="0079384D"/>
    <w:rsid w:val="00793D49"/>
    <w:rsid w:val="00793E94"/>
    <w:rsid w:val="00794D3A"/>
    <w:rsid w:val="00796ECD"/>
    <w:rsid w:val="00797120"/>
    <w:rsid w:val="00797486"/>
    <w:rsid w:val="0079757B"/>
    <w:rsid w:val="00797CAF"/>
    <w:rsid w:val="007A1A66"/>
    <w:rsid w:val="007A1B9E"/>
    <w:rsid w:val="007A2EBB"/>
    <w:rsid w:val="007A4327"/>
    <w:rsid w:val="007A4D4E"/>
    <w:rsid w:val="007A53D4"/>
    <w:rsid w:val="007A54B6"/>
    <w:rsid w:val="007A6D50"/>
    <w:rsid w:val="007A7D28"/>
    <w:rsid w:val="007B00E0"/>
    <w:rsid w:val="007B0A07"/>
    <w:rsid w:val="007B6656"/>
    <w:rsid w:val="007B6D2B"/>
    <w:rsid w:val="007B7344"/>
    <w:rsid w:val="007B77F7"/>
    <w:rsid w:val="007B7BF9"/>
    <w:rsid w:val="007C0D27"/>
    <w:rsid w:val="007C2023"/>
    <w:rsid w:val="007C2E20"/>
    <w:rsid w:val="007C536C"/>
    <w:rsid w:val="007C5ED1"/>
    <w:rsid w:val="007C6D3D"/>
    <w:rsid w:val="007C7797"/>
    <w:rsid w:val="007C7D03"/>
    <w:rsid w:val="007D1133"/>
    <w:rsid w:val="007D142F"/>
    <w:rsid w:val="007D33FD"/>
    <w:rsid w:val="007D3AC9"/>
    <w:rsid w:val="007D490D"/>
    <w:rsid w:val="007D582A"/>
    <w:rsid w:val="007D68FF"/>
    <w:rsid w:val="007D6967"/>
    <w:rsid w:val="007E0CD8"/>
    <w:rsid w:val="007E0EFB"/>
    <w:rsid w:val="007E0F1F"/>
    <w:rsid w:val="007E2450"/>
    <w:rsid w:val="007E3152"/>
    <w:rsid w:val="007E76DE"/>
    <w:rsid w:val="007F0011"/>
    <w:rsid w:val="007F2468"/>
    <w:rsid w:val="007F2F74"/>
    <w:rsid w:val="007F3855"/>
    <w:rsid w:val="007F3EBB"/>
    <w:rsid w:val="007F3F0A"/>
    <w:rsid w:val="007F56D4"/>
    <w:rsid w:val="007F5B48"/>
    <w:rsid w:val="007F7448"/>
    <w:rsid w:val="0080203A"/>
    <w:rsid w:val="0080222A"/>
    <w:rsid w:val="00803147"/>
    <w:rsid w:val="008033A3"/>
    <w:rsid w:val="0080479D"/>
    <w:rsid w:val="008051F0"/>
    <w:rsid w:val="008055B6"/>
    <w:rsid w:val="00806654"/>
    <w:rsid w:val="00806F9F"/>
    <w:rsid w:val="00810DB6"/>
    <w:rsid w:val="00810E76"/>
    <w:rsid w:val="008116DD"/>
    <w:rsid w:val="008122DB"/>
    <w:rsid w:val="008126B2"/>
    <w:rsid w:val="00814AF2"/>
    <w:rsid w:val="00814F11"/>
    <w:rsid w:val="00815CCE"/>
    <w:rsid w:val="00815DD6"/>
    <w:rsid w:val="00816BAF"/>
    <w:rsid w:val="008172F2"/>
    <w:rsid w:val="00817C71"/>
    <w:rsid w:val="00820A18"/>
    <w:rsid w:val="00820E5F"/>
    <w:rsid w:val="00821411"/>
    <w:rsid w:val="00822252"/>
    <w:rsid w:val="00822403"/>
    <w:rsid w:val="00822754"/>
    <w:rsid w:val="00822A3B"/>
    <w:rsid w:val="00823536"/>
    <w:rsid w:val="0082509E"/>
    <w:rsid w:val="0082514F"/>
    <w:rsid w:val="00826D88"/>
    <w:rsid w:val="008276C7"/>
    <w:rsid w:val="008301B2"/>
    <w:rsid w:val="008306C9"/>
    <w:rsid w:val="00832743"/>
    <w:rsid w:val="008332CC"/>
    <w:rsid w:val="0083333C"/>
    <w:rsid w:val="00833BF3"/>
    <w:rsid w:val="00836410"/>
    <w:rsid w:val="00837865"/>
    <w:rsid w:val="0084151E"/>
    <w:rsid w:val="00841BE6"/>
    <w:rsid w:val="008424D0"/>
    <w:rsid w:val="00842706"/>
    <w:rsid w:val="008432EB"/>
    <w:rsid w:val="00843C17"/>
    <w:rsid w:val="00843EF6"/>
    <w:rsid w:val="008446A7"/>
    <w:rsid w:val="0084633C"/>
    <w:rsid w:val="0085090F"/>
    <w:rsid w:val="00851232"/>
    <w:rsid w:val="008514C5"/>
    <w:rsid w:val="00852B4D"/>
    <w:rsid w:val="00852FCA"/>
    <w:rsid w:val="008531E9"/>
    <w:rsid w:val="0085370B"/>
    <w:rsid w:val="00853771"/>
    <w:rsid w:val="008541FE"/>
    <w:rsid w:val="00854857"/>
    <w:rsid w:val="008561E0"/>
    <w:rsid w:val="00856A6B"/>
    <w:rsid w:val="00856B63"/>
    <w:rsid w:val="00857215"/>
    <w:rsid w:val="00860DA1"/>
    <w:rsid w:val="008617B2"/>
    <w:rsid w:val="0086200F"/>
    <w:rsid w:val="008623EB"/>
    <w:rsid w:val="00863091"/>
    <w:rsid w:val="0086429A"/>
    <w:rsid w:val="0086556B"/>
    <w:rsid w:val="008662F6"/>
    <w:rsid w:val="008664F8"/>
    <w:rsid w:val="0086658A"/>
    <w:rsid w:val="008666DB"/>
    <w:rsid w:val="00866A73"/>
    <w:rsid w:val="008675ED"/>
    <w:rsid w:val="008720A6"/>
    <w:rsid w:val="0087400B"/>
    <w:rsid w:val="00874F77"/>
    <w:rsid w:val="0087615F"/>
    <w:rsid w:val="00877FF1"/>
    <w:rsid w:val="008824D9"/>
    <w:rsid w:val="008833CA"/>
    <w:rsid w:val="0088350D"/>
    <w:rsid w:val="00885B6B"/>
    <w:rsid w:val="00886027"/>
    <w:rsid w:val="0088633D"/>
    <w:rsid w:val="00892D6C"/>
    <w:rsid w:val="00894DC7"/>
    <w:rsid w:val="00895A4C"/>
    <w:rsid w:val="00895ED5"/>
    <w:rsid w:val="00897448"/>
    <w:rsid w:val="0089762F"/>
    <w:rsid w:val="008978E4"/>
    <w:rsid w:val="008A05E4"/>
    <w:rsid w:val="008A0E52"/>
    <w:rsid w:val="008A0EC4"/>
    <w:rsid w:val="008A244B"/>
    <w:rsid w:val="008A253E"/>
    <w:rsid w:val="008A5841"/>
    <w:rsid w:val="008A598C"/>
    <w:rsid w:val="008A5AA6"/>
    <w:rsid w:val="008A5CA1"/>
    <w:rsid w:val="008A6209"/>
    <w:rsid w:val="008A67E3"/>
    <w:rsid w:val="008A6B64"/>
    <w:rsid w:val="008A77E8"/>
    <w:rsid w:val="008B1AF6"/>
    <w:rsid w:val="008B1CAC"/>
    <w:rsid w:val="008B20D9"/>
    <w:rsid w:val="008B28C9"/>
    <w:rsid w:val="008B49E1"/>
    <w:rsid w:val="008B5AC0"/>
    <w:rsid w:val="008B6ABD"/>
    <w:rsid w:val="008B6EA2"/>
    <w:rsid w:val="008B72BC"/>
    <w:rsid w:val="008B7B95"/>
    <w:rsid w:val="008C1EE6"/>
    <w:rsid w:val="008C2491"/>
    <w:rsid w:val="008C3260"/>
    <w:rsid w:val="008C48C5"/>
    <w:rsid w:val="008C58E9"/>
    <w:rsid w:val="008D033B"/>
    <w:rsid w:val="008D0A47"/>
    <w:rsid w:val="008D18DA"/>
    <w:rsid w:val="008D3237"/>
    <w:rsid w:val="008D48F8"/>
    <w:rsid w:val="008D59CC"/>
    <w:rsid w:val="008E1CA4"/>
    <w:rsid w:val="008E2088"/>
    <w:rsid w:val="008E28C2"/>
    <w:rsid w:val="008E3333"/>
    <w:rsid w:val="008E479E"/>
    <w:rsid w:val="008E66DD"/>
    <w:rsid w:val="008E69FB"/>
    <w:rsid w:val="008E78A9"/>
    <w:rsid w:val="008F0645"/>
    <w:rsid w:val="008F0ACE"/>
    <w:rsid w:val="008F1A23"/>
    <w:rsid w:val="008F1A2A"/>
    <w:rsid w:val="008F2FDF"/>
    <w:rsid w:val="008F3520"/>
    <w:rsid w:val="008F4C13"/>
    <w:rsid w:val="008F5C3B"/>
    <w:rsid w:val="008F5C57"/>
    <w:rsid w:val="00900A6B"/>
    <w:rsid w:val="009010D2"/>
    <w:rsid w:val="00901197"/>
    <w:rsid w:val="00901208"/>
    <w:rsid w:val="00902D5B"/>
    <w:rsid w:val="00903149"/>
    <w:rsid w:val="009033AA"/>
    <w:rsid w:val="009039CF"/>
    <w:rsid w:val="00905703"/>
    <w:rsid w:val="00905EBD"/>
    <w:rsid w:val="00906CD8"/>
    <w:rsid w:val="00907A2F"/>
    <w:rsid w:val="00910C21"/>
    <w:rsid w:val="009111B2"/>
    <w:rsid w:val="009136A6"/>
    <w:rsid w:val="009149DD"/>
    <w:rsid w:val="0091716B"/>
    <w:rsid w:val="00917348"/>
    <w:rsid w:val="0092011D"/>
    <w:rsid w:val="00922C2D"/>
    <w:rsid w:val="0092309B"/>
    <w:rsid w:val="00924778"/>
    <w:rsid w:val="00924A2E"/>
    <w:rsid w:val="00924C55"/>
    <w:rsid w:val="00925016"/>
    <w:rsid w:val="0092529A"/>
    <w:rsid w:val="009255F6"/>
    <w:rsid w:val="00925D4A"/>
    <w:rsid w:val="00926B56"/>
    <w:rsid w:val="00927A09"/>
    <w:rsid w:val="00927B4A"/>
    <w:rsid w:val="00927EF5"/>
    <w:rsid w:val="00930696"/>
    <w:rsid w:val="00932DAC"/>
    <w:rsid w:val="009331BB"/>
    <w:rsid w:val="00933609"/>
    <w:rsid w:val="00934ABD"/>
    <w:rsid w:val="00935659"/>
    <w:rsid w:val="0093627A"/>
    <w:rsid w:val="0093664A"/>
    <w:rsid w:val="00936AF7"/>
    <w:rsid w:val="00937390"/>
    <w:rsid w:val="0094017E"/>
    <w:rsid w:val="00940637"/>
    <w:rsid w:val="009432D5"/>
    <w:rsid w:val="009434CF"/>
    <w:rsid w:val="00943DF4"/>
    <w:rsid w:val="0094438C"/>
    <w:rsid w:val="00944B0B"/>
    <w:rsid w:val="009457EF"/>
    <w:rsid w:val="00945B84"/>
    <w:rsid w:val="00945EC2"/>
    <w:rsid w:val="00946064"/>
    <w:rsid w:val="0094636F"/>
    <w:rsid w:val="00946638"/>
    <w:rsid w:val="00946D73"/>
    <w:rsid w:val="00946ECC"/>
    <w:rsid w:val="00947CAA"/>
    <w:rsid w:val="00950D32"/>
    <w:rsid w:val="009515FD"/>
    <w:rsid w:val="00954428"/>
    <w:rsid w:val="00954504"/>
    <w:rsid w:val="00954B16"/>
    <w:rsid w:val="00954FDF"/>
    <w:rsid w:val="00955129"/>
    <w:rsid w:val="0095521B"/>
    <w:rsid w:val="00955C05"/>
    <w:rsid w:val="00955F8C"/>
    <w:rsid w:val="0095654A"/>
    <w:rsid w:val="00956D7E"/>
    <w:rsid w:val="009613D8"/>
    <w:rsid w:val="00961A68"/>
    <w:rsid w:val="00962AD0"/>
    <w:rsid w:val="00962DE6"/>
    <w:rsid w:val="00963908"/>
    <w:rsid w:val="0096425E"/>
    <w:rsid w:val="009653A5"/>
    <w:rsid w:val="009656C5"/>
    <w:rsid w:val="00966177"/>
    <w:rsid w:val="00966E35"/>
    <w:rsid w:val="00971C2F"/>
    <w:rsid w:val="009739A0"/>
    <w:rsid w:val="0097445B"/>
    <w:rsid w:val="0097524E"/>
    <w:rsid w:val="00976A8F"/>
    <w:rsid w:val="009770AE"/>
    <w:rsid w:val="00980E4D"/>
    <w:rsid w:val="00980E50"/>
    <w:rsid w:val="00982CC7"/>
    <w:rsid w:val="00982DED"/>
    <w:rsid w:val="00984B1D"/>
    <w:rsid w:val="00984D6C"/>
    <w:rsid w:val="00985244"/>
    <w:rsid w:val="0098574D"/>
    <w:rsid w:val="009858E9"/>
    <w:rsid w:val="00986B08"/>
    <w:rsid w:val="00986C2A"/>
    <w:rsid w:val="00987460"/>
    <w:rsid w:val="009875C2"/>
    <w:rsid w:val="00987938"/>
    <w:rsid w:val="00987EC7"/>
    <w:rsid w:val="00987F83"/>
    <w:rsid w:val="00987FE5"/>
    <w:rsid w:val="00991033"/>
    <w:rsid w:val="009916CE"/>
    <w:rsid w:val="00993096"/>
    <w:rsid w:val="009937B0"/>
    <w:rsid w:val="0099440C"/>
    <w:rsid w:val="00994E13"/>
    <w:rsid w:val="009953E0"/>
    <w:rsid w:val="009955C1"/>
    <w:rsid w:val="00995612"/>
    <w:rsid w:val="00995CDF"/>
    <w:rsid w:val="00996022"/>
    <w:rsid w:val="009960BC"/>
    <w:rsid w:val="00996F49"/>
    <w:rsid w:val="00997094"/>
    <w:rsid w:val="009A009C"/>
    <w:rsid w:val="009A2117"/>
    <w:rsid w:val="009A22B7"/>
    <w:rsid w:val="009A335C"/>
    <w:rsid w:val="009A3621"/>
    <w:rsid w:val="009A4105"/>
    <w:rsid w:val="009A454A"/>
    <w:rsid w:val="009A6D8C"/>
    <w:rsid w:val="009B0354"/>
    <w:rsid w:val="009B0BC0"/>
    <w:rsid w:val="009B1660"/>
    <w:rsid w:val="009B1C7B"/>
    <w:rsid w:val="009B1F0D"/>
    <w:rsid w:val="009B2259"/>
    <w:rsid w:val="009B4533"/>
    <w:rsid w:val="009B4725"/>
    <w:rsid w:val="009B5DC8"/>
    <w:rsid w:val="009B63B4"/>
    <w:rsid w:val="009B6904"/>
    <w:rsid w:val="009B7D13"/>
    <w:rsid w:val="009C108E"/>
    <w:rsid w:val="009C1320"/>
    <w:rsid w:val="009C155E"/>
    <w:rsid w:val="009C1B4B"/>
    <w:rsid w:val="009C2AE5"/>
    <w:rsid w:val="009C2BA0"/>
    <w:rsid w:val="009C4334"/>
    <w:rsid w:val="009C4F34"/>
    <w:rsid w:val="009C503F"/>
    <w:rsid w:val="009C51FB"/>
    <w:rsid w:val="009C5335"/>
    <w:rsid w:val="009C538D"/>
    <w:rsid w:val="009C56DB"/>
    <w:rsid w:val="009C5A16"/>
    <w:rsid w:val="009C5F85"/>
    <w:rsid w:val="009C62A9"/>
    <w:rsid w:val="009D0035"/>
    <w:rsid w:val="009D14F6"/>
    <w:rsid w:val="009D285B"/>
    <w:rsid w:val="009D2F7C"/>
    <w:rsid w:val="009D4345"/>
    <w:rsid w:val="009D626C"/>
    <w:rsid w:val="009D636E"/>
    <w:rsid w:val="009D640C"/>
    <w:rsid w:val="009D64D3"/>
    <w:rsid w:val="009D7457"/>
    <w:rsid w:val="009D79D6"/>
    <w:rsid w:val="009E024E"/>
    <w:rsid w:val="009E1473"/>
    <w:rsid w:val="009E3B4C"/>
    <w:rsid w:val="009E49DD"/>
    <w:rsid w:val="009E5931"/>
    <w:rsid w:val="009E5D1D"/>
    <w:rsid w:val="009E614C"/>
    <w:rsid w:val="009E6A96"/>
    <w:rsid w:val="009E783C"/>
    <w:rsid w:val="009E7A8E"/>
    <w:rsid w:val="009F001A"/>
    <w:rsid w:val="009F04C6"/>
    <w:rsid w:val="009F153C"/>
    <w:rsid w:val="009F1D47"/>
    <w:rsid w:val="009F4E0B"/>
    <w:rsid w:val="009F60D2"/>
    <w:rsid w:val="009F69C0"/>
    <w:rsid w:val="009F7997"/>
    <w:rsid w:val="009F7E28"/>
    <w:rsid w:val="00A00E23"/>
    <w:rsid w:val="00A017D7"/>
    <w:rsid w:val="00A027EB"/>
    <w:rsid w:val="00A02A93"/>
    <w:rsid w:val="00A03BEF"/>
    <w:rsid w:val="00A048EA"/>
    <w:rsid w:val="00A0639A"/>
    <w:rsid w:val="00A06A5C"/>
    <w:rsid w:val="00A077DB"/>
    <w:rsid w:val="00A10A87"/>
    <w:rsid w:val="00A11183"/>
    <w:rsid w:val="00A1183F"/>
    <w:rsid w:val="00A11D3A"/>
    <w:rsid w:val="00A1212A"/>
    <w:rsid w:val="00A13B46"/>
    <w:rsid w:val="00A15DCD"/>
    <w:rsid w:val="00A15DDB"/>
    <w:rsid w:val="00A161A0"/>
    <w:rsid w:val="00A16AF2"/>
    <w:rsid w:val="00A17FFC"/>
    <w:rsid w:val="00A20323"/>
    <w:rsid w:val="00A22584"/>
    <w:rsid w:val="00A225C7"/>
    <w:rsid w:val="00A22B2E"/>
    <w:rsid w:val="00A241D0"/>
    <w:rsid w:val="00A2471B"/>
    <w:rsid w:val="00A2480D"/>
    <w:rsid w:val="00A25A05"/>
    <w:rsid w:val="00A2712D"/>
    <w:rsid w:val="00A27213"/>
    <w:rsid w:val="00A273D4"/>
    <w:rsid w:val="00A2760C"/>
    <w:rsid w:val="00A27B29"/>
    <w:rsid w:val="00A3103B"/>
    <w:rsid w:val="00A32A16"/>
    <w:rsid w:val="00A331C2"/>
    <w:rsid w:val="00A34598"/>
    <w:rsid w:val="00A35588"/>
    <w:rsid w:val="00A35D03"/>
    <w:rsid w:val="00A36117"/>
    <w:rsid w:val="00A37C28"/>
    <w:rsid w:val="00A404F4"/>
    <w:rsid w:val="00A41D5F"/>
    <w:rsid w:val="00A4311F"/>
    <w:rsid w:val="00A43790"/>
    <w:rsid w:val="00A4442A"/>
    <w:rsid w:val="00A444B6"/>
    <w:rsid w:val="00A451EC"/>
    <w:rsid w:val="00A46C61"/>
    <w:rsid w:val="00A477D6"/>
    <w:rsid w:val="00A47F92"/>
    <w:rsid w:val="00A50255"/>
    <w:rsid w:val="00A502F9"/>
    <w:rsid w:val="00A53718"/>
    <w:rsid w:val="00A53923"/>
    <w:rsid w:val="00A54B13"/>
    <w:rsid w:val="00A5560D"/>
    <w:rsid w:val="00A56792"/>
    <w:rsid w:val="00A57D47"/>
    <w:rsid w:val="00A600E8"/>
    <w:rsid w:val="00A622B1"/>
    <w:rsid w:val="00A6256B"/>
    <w:rsid w:val="00A626A0"/>
    <w:rsid w:val="00A647EC"/>
    <w:rsid w:val="00A64916"/>
    <w:rsid w:val="00A64F54"/>
    <w:rsid w:val="00A6514B"/>
    <w:rsid w:val="00A65347"/>
    <w:rsid w:val="00A66113"/>
    <w:rsid w:val="00A66AB3"/>
    <w:rsid w:val="00A70F59"/>
    <w:rsid w:val="00A72938"/>
    <w:rsid w:val="00A731C5"/>
    <w:rsid w:val="00A74D63"/>
    <w:rsid w:val="00A756F5"/>
    <w:rsid w:val="00A76871"/>
    <w:rsid w:val="00A81D3F"/>
    <w:rsid w:val="00A82EA4"/>
    <w:rsid w:val="00A836FD"/>
    <w:rsid w:val="00A85DF6"/>
    <w:rsid w:val="00A86C60"/>
    <w:rsid w:val="00A87F48"/>
    <w:rsid w:val="00A87F9A"/>
    <w:rsid w:val="00A906EB"/>
    <w:rsid w:val="00A90815"/>
    <w:rsid w:val="00A90DA0"/>
    <w:rsid w:val="00A90DA3"/>
    <w:rsid w:val="00A91CCA"/>
    <w:rsid w:val="00A92F8F"/>
    <w:rsid w:val="00A9376C"/>
    <w:rsid w:val="00A93AF7"/>
    <w:rsid w:val="00A94A12"/>
    <w:rsid w:val="00A94DDF"/>
    <w:rsid w:val="00A95645"/>
    <w:rsid w:val="00A957B3"/>
    <w:rsid w:val="00A95B0A"/>
    <w:rsid w:val="00A95D90"/>
    <w:rsid w:val="00A96510"/>
    <w:rsid w:val="00AA09E0"/>
    <w:rsid w:val="00AA0AEF"/>
    <w:rsid w:val="00AA0F8B"/>
    <w:rsid w:val="00AA1037"/>
    <w:rsid w:val="00AA2033"/>
    <w:rsid w:val="00AA2C33"/>
    <w:rsid w:val="00AA3A0D"/>
    <w:rsid w:val="00AA4AE2"/>
    <w:rsid w:val="00AA51F2"/>
    <w:rsid w:val="00AA5774"/>
    <w:rsid w:val="00AA5F03"/>
    <w:rsid w:val="00AA77D1"/>
    <w:rsid w:val="00AA7962"/>
    <w:rsid w:val="00AA7DAC"/>
    <w:rsid w:val="00AB0EA2"/>
    <w:rsid w:val="00AB27A1"/>
    <w:rsid w:val="00AB323A"/>
    <w:rsid w:val="00AB3A8C"/>
    <w:rsid w:val="00AB4EAA"/>
    <w:rsid w:val="00AB6D40"/>
    <w:rsid w:val="00AB796F"/>
    <w:rsid w:val="00AC05E4"/>
    <w:rsid w:val="00AC0A96"/>
    <w:rsid w:val="00AC2610"/>
    <w:rsid w:val="00AC2BE2"/>
    <w:rsid w:val="00AC2E5F"/>
    <w:rsid w:val="00AC30AF"/>
    <w:rsid w:val="00AC4D94"/>
    <w:rsid w:val="00AC62B2"/>
    <w:rsid w:val="00AC6739"/>
    <w:rsid w:val="00AC68D6"/>
    <w:rsid w:val="00AC7CE1"/>
    <w:rsid w:val="00AD093F"/>
    <w:rsid w:val="00AD0C0A"/>
    <w:rsid w:val="00AD0FA6"/>
    <w:rsid w:val="00AD3530"/>
    <w:rsid w:val="00AD3DEA"/>
    <w:rsid w:val="00AD499E"/>
    <w:rsid w:val="00AD5971"/>
    <w:rsid w:val="00AD6167"/>
    <w:rsid w:val="00AD6FA8"/>
    <w:rsid w:val="00AD7460"/>
    <w:rsid w:val="00AD7AE5"/>
    <w:rsid w:val="00AE0744"/>
    <w:rsid w:val="00AE2301"/>
    <w:rsid w:val="00AE2703"/>
    <w:rsid w:val="00AE35DF"/>
    <w:rsid w:val="00AE4CDC"/>
    <w:rsid w:val="00AE5437"/>
    <w:rsid w:val="00AE5A6E"/>
    <w:rsid w:val="00AE691B"/>
    <w:rsid w:val="00AE7B3B"/>
    <w:rsid w:val="00AE7C75"/>
    <w:rsid w:val="00AF0C72"/>
    <w:rsid w:val="00AF106F"/>
    <w:rsid w:val="00AF11B1"/>
    <w:rsid w:val="00AF307E"/>
    <w:rsid w:val="00AF34EC"/>
    <w:rsid w:val="00AF3A63"/>
    <w:rsid w:val="00AF5D18"/>
    <w:rsid w:val="00AF66B3"/>
    <w:rsid w:val="00AF768A"/>
    <w:rsid w:val="00AF7775"/>
    <w:rsid w:val="00B006D7"/>
    <w:rsid w:val="00B019CD"/>
    <w:rsid w:val="00B022B2"/>
    <w:rsid w:val="00B036AD"/>
    <w:rsid w:val="00B049BF"/>
    <w:rsid w:val="00B04E28"/>
    <w:rsid w:val="00B05B0F"/>
    <w:rsid w:val="00B06338"/>
    <w:rsid w:val="00B068F9"/>
    <w:rsid w:val="00B072A8"/>
    <w:rsid w:val="00B113ED"/>
    <w:rsid w:val="00B12F65"/>
    <w:rsid w:val="00B12F8A"/>
    <w:rsid w:val="00B14752"/>
    <w:rsid w:val="00B14BC1"/>
    <w:rsid w:val="00B15A33"/>
    <w:rsid w:val="00B16CD5"/>
    <w:rsid w:val="00B17352"/>
    <w:rsid w:val="00B2042B"/>
    <w:rsid w:val="00B20F69"/>
    <w:rsid w:val="00B214CF"/>
    <w:rsid w:val="00B216B6"/>
    <w:rsid w:val="00B219D6"/>
    <w:rsid w:val="00B227F0"/>
    <w:rsid w:val="00B23795"/>
    <w:rsid w:val="00B23E62"/>
    <w:rsid w:val="00B24181"/>
    <w:rsid w:val="00B246F1"/>
    <w:rsid w:val="00B24825"/>
    <w:rsid w:val="00B25FD8"/>
    <w:rsid w:val="00B279D9"/>
    <w:rsid w:val="00B27CAE"/>
    <w:rsid w:val="00B318FA"/>
    <w:rsid w:val="00B32484"/>
    <w:rsid w:val="00B336F2"/>
    <w:rsid w:val="00B34D41"/>
    <w:rsid w:val="00B37818"/>
    <w:rsid w:val="00B37FEA"/>
    <w:rsid w:val="00B42DEE"/>
    <w:rsid w:val="00B430AB"/>
    <w:rsid w:val="00B4600A"/>
    <w:rsid w:val="00B46543"/>
    <w:rsid w:val="00B47798"/>
    <w:rsid w:val="00B500AE"/>
    <w:rsid w:val="00B50751"/>
    <w:rsid w:val="00B52AC4"/>
    <w:rsid w:val="00B52E82"/>
    <w:rsid w:val="00B52FD0"/>
    <w:rsid w:val="00B54021"/>
    <w:rsid w:val="00B54601"/>
    <w:rsid w:val="00B55159"/>
    <w:rsid w:val="00B558C9"/>
    <w:rsid w:val="00B55CA6"/>
    <w:rsid w:val="00B563EC"/>
    <w:rsid w:val="00B564F4"/>
    <w:rsid w:val="00B57C54"/>
    <w:rsid w:val="00B57EAD"/>
    <w:rsid w:val="00B62DA5"/>
    <w:rsid w:val="00B63296"/>
    <w:rsid w:val="00B63907"/>
    <w:rsid w:val="00B645E8"/>
    <w:rsid w:val="00B64630"/>
    <w:rsid w:val="00B653DF"/>
    <w:rsid w:val="00B65A20"/>
    <w:rsid w:val="00B672E0"/>
    <w:rsid w:val="00B675B8"/>
    <w:rsid w:val="00B67B2C"/>
    <w:rsid w:val="00B70284"/>
    <w:rsid w:val="00B722E4"/>
    <w:rsid w:val="00B759D1"/>
    <w:rsid w:val="00B75DDB"/>
    <w:rsid w:val="00B80EE9"/>
    <w:rsid w:val="00B81503"/>
    <w:rsid w:val="00B8171B"/>
    <w:rsid w:val="00B81BB3"/>
    <w:rsid w:val="00B8260C"/>
    <w:rsid w:val="00B8443F"/>
    <w:rsid w:val="00B84F79"/>
    <w:rsid w:val="00B8617D"/>
    <w:rsid w:val="00B861A7"/>
    <w:rsid w:val="00B870E7"/>
    <w:rsid w:val="00B923F2"/>
    <w:rsid w:val="00B96091"/>
    <w:rsid w:val="00B966B5"/>
    <w:rsid w:val="00B97D33"/>
    <w:rsid w:val="00B97EFE"/>
    <w:rsid w:val="00BA0A5A"/>
    <w:rsid w:val="00BA16B9"/>
    <w:rsid w:val="00BA232A"/>
    <w:rsid w:val="00BA390D"/>
    <w:rsid w:val="00BA4B8A"/>
    <w:rsid w:val="00BA4FDE"/>
    <w:rsid w:val="00BA52C2"/>
    <w:rsid w:val="00BA52FF"/>
    <w:rsid w:val="00BA5383"/>
    <w:rsid w:val="00BA5482"/>
    <w:rsid w:val="00BA6625"/>
    <w:rsid w:val="00BB0425"/>
    <w:rsid w:val="00BB0B2E"/>
    <w:rsid w:val="00BB29CE"/>
    <w:rsid w:val="00BB39CE"/>
    <w:rsid w:val="00BB3DB1"/>
    <w:rsid w:val="00BB5C48"/>
    <w:rsid w:val="00BB790A"/>
    <w:rsid w:val="00BC13D8"/>
    <w:rsid w:val="00BC227E"/>
    <w:rsid w:val="00BC2C41"/>
    <w:rsid w:val="00BC360D"/>
    <w:rsid w:val="00BC4175"/>
    <w:rsid w:val="00BC46ED"/>
    <w:rsid w:val="00BC50B0"/>
    <w:rsid w:val="00BC538A"/>
    <w:rsid w:val="00BC5680"/>
    <w:rsid w:val="00BC73D8"/>
    <w:rsid w:val="00BD0372"/>
    <w:rsid w:val="00BD08A8"/>
    <w:rsid w:val="00BD2C56"/>
    <w:rsid w:val="00BD3611"/>
    <w:rsid w:val="00BD5D31"/>
    <w:rsid w:val="00BD796E"/>
    <w:rsid w:val="00BE094A"/>
    <w:rsid w:val="00BE0C55"/>
    <w:rsid w:val="00BE301D"/>
    <w:rsid w:val="00BE33F8"/>
    <w:rsid w:val="00BE378D"/>
    <w:rsid w:val="00BE45D1"/>
    <w:rsid w:val="00BE46A7"/>
    <w:rsid w:val="00BE47CA"/>
    <w:rsid w:val="00BE4BFC"/>
    <w:rsid w:val="00BE4FE1"/>
    <w:rsid w:val="00BE5A61"/>
    <w:rsid w:val="00BE7606"/>
    <w:rsid w:val="00BF05B4"/>
    <w:rsid w:val="00BF0E48"/>
    <w:rsid w:val="00BF16A9"/>
    <w:rsid w:val="00BF2304"/>
    <w:rsid w:val="00BF2C22"/>
    <w:rsid w:val="00BF3BFE"/>
    <w:rsid w:val="00BF4095"/>
    <w:rsid w:val="00BF44CD"/>
    <w:rsid w:val="00BF51F5"/>
    <w:rsid w:val="00BF6394"/>
    <w:rsid w:val="00BF6AA8"/>
    <w:rsid w:val="00BF6E39"/>
    <w:rsid w:val="00C00D4D"/>
    <w:rsid w:val="00C0243A"/>
    <w:rsid w:val="00C051AC"/>
    <w:rsid w:val="00C05A30"/>
    <w:rsid w:val="00C07C64"/>
    <w:rsid w:val="00C10465"/>
    <w:rsid w:val="00C10C67"/>
    <w:rsid w:val="00C113F4"/>
    <w:rsid w:val="00C116ED"/>
    <w:rsid w:val="00C118D6"/>
    <w:rsid w:val="00C11B22"/>
    <w:rsid w:val="00C12EF9"/>
    <w:rsid w:val="00C13A87"/>
    <w:rsid w:val="00C13AE8"/>
    <w:rsid w:val="00C14410"/>
    <w:rsid w:val="00C14916"/>
    <w:rsid w:val="00C161AE"/>
    <w:rsid w:val="00C16C97"/>
    <w:rsid w:val="00C17A65"/>
    <w:rsid w:val="00C206F5"/>
    <w:rsid w:val="00C20DD7"/>
    <w:rsid w:val="00C21CF1"/>
    <w:rsid w:val="00C22656"/>
    <w:rsid w:val="00C23846"/>
    <w:rsid w:val="00C25AA4"/>
    <w:rsid w:val="00C273AF"/>
    <w:rsid w:val="00C2796E"/>
    <w:rsid w:val="00C32C7F"/>
    <w:rsid w:val="00C343B8"/>
    <w:rsid w:val="00C34AB1"/>
    <w:rsid w:val="00C36B06"/>
    <w:rsid w:val="00C36E0C"/>
    <w:rsid w:val="00C37919"/>
    <w:rsid w:val="00C37E46"/>
    <w:rsid w:val="00C40A9D"/>
    <w:rsid w:val="00C411A2"/>
    <w:rsid w:val="00C41C7D"/>
    <w:rsid w:val="00C4275A"/>
    <w:rsid w:val="00C43103"/>
    <w:rsid w:val="00C446CD"/>
    <w:rsid w:val="00C476EF"/>
    <w:rsid w:val="00C513F0"/>
    <w:rsid w:val="00C519E7"/>
    <w:rsid w:val="00C53D20"/>
    <w:rsid w:val="00C542EF"/>
    <w:rsid w:val="00C54F72"/>
    <w:rsid w:val="00C555A1"/>
    <w:rsid w:val="00C5581C"/>
    <w:rsid w:val="00C579C0"/>
    <w:rsid w:val="00C57C47"/>
    <w:rsid w:val="00C57FFD"/>
    <w:rsid w:val="00C60A98"/>
    <w:rsid w:val="00C61FEC"/>
    <w:rsid w:val="00C624DE"/>
    <w:rsid w:val="00C642EB"/>
    <w:rsid w:val="00C64A4D"/>
    <w:rsid w:val="00C66246"/>
    <w:rsid w:val="00C71316"/>
    <w:rsid w:val="00C7151F"/>
    <w:rsid w:val="00C74B90"/>
    <w:rsid w:val="00C757C8"/>
    <w:rsid w:val="00C764C8"/>
    <w:rsid w:val="00C76FD5"/>
    <w:rsid w:val="00C7768B"/>
    <w:rsid w:val="00C8057F"/>
    <w:rsid w:val="00C8060C"/>
    <w:rsid w:val="00C8183F"/>
    <w:rsid w:val="00C82391"/>
    <w:rsid w:val="00C82AF7"/>
    <w:rsid w:val="00C8361C"/>
    <w:rsid w:val="00C837F6"/>
    <w:rsid w:val="00C85689"/>
    <w:rsid w:val="00C859F9"/>
    <w:rsid w:val="00C8614F"/>
    <w:rsid w:val="00C87125"/>
    <w:rsid w:val="00C912FD"/>
    <w:rsid w:val="00C91E8E"/>
    <w:rsid w:val="00C9317A"/>
    <w:rsid w:val="00C9345E"/>
    <w:rsid w:val="00C93A9A"/>
    <w:rsid w:val="00C93BDE"/>
    <w:rsid w:val="00C942EF"/>
    <w:rsid w:val="00C94587"/>
    <w:rsid w:val="00C95E60"/>
    <w:rsid w:val="00C97891"/>
    <w:rsid w:val="00CA0BAF"/>
    <w:rsid w:val="00CA19D8"/>
    <w:rsid w:val="00CA1E6D"/>
    <w:rsid w:val="00CA2473"/>
    <w:rsid w:val="00CA388B"/>
    <w:rsid w:val="00CA4B57"/>
    <w:rsid w:val="00CA5743"/>
    <w:rsid w:val="00CA63E0"/>
    <w:rsid w:val="00CA6BEA"/>
    <w:rsid w:val="00CA6C7A"/>
    <w:rsid w:val="00CA6D03"/>
    <w:rsid w:val="00CA74FE"/>
    <w:rsid w:val="00CB0751"/>
    <w:rsid w:val="00CB18DB"/>
    <w:rsid w:val="00CB5C61"/>
    <w:rsid w:val="00CB7F0E"/>
    <w:rsid w:val="00CC0CA8"/>
    <w:rsid w:val="00CC31F8"/>
    <w:rsid w:val="00CC4298"/>
    <w:rsid w:val="00CC4AF5"/>
    <w:rsid w:val="00CC5681"/>
    <w:rsid w:val="00CC6631"/>
    <w:rsid w:val="00CD086A"/>
    <w:rsid w:val="00CD2BE0"/>
    <w:rsid w:val="00CD3063"/>
    <w:rsid w:val="00CD4503"/>
    <w:rsid w:val="00CD4BF2"/>
    <w:rsid w:val="00CD5444"/>
    <w:rsid w:val="00CD6A84"/>
    <w:rsid w:val="00CE2205"/>
    <w:rsid w:val="00CE2678"/>
    <w:rsid w:val="00CE2EAF"/>
    <w:rsid w:val="00CE3BA2"/>
    <w:rsid w:val="00CE3C0C"/>
    <w:rsid w:val="00CE454F"/>
    <w:rsid w:val="00CE5AAD"/>
    <w:rsid w:val="00CE759D"/>
    <w:rsid w:val="00CF0288"/>
    <w:rsid w:val="00CF03F5"/>
    <w:rsid w:val="00CF0E8B"/>
    <w:rsid w:val="00CF23A3"/>
    <w:rsid w:val="00CF2E57"/>
    <w:rsid w:val="00CF38E4"/>
    <w:rsid w:val="00CF58D6"/>
    <w:rsid w:val="00CF5D95"/>
    <w:rsid w:val="00CF6525"/>
    <w:rsid w:val="00CF6B10"/>
    <w:rsid w:val="00CF6DAE"/>
    <w:rsid w:val="00CF7076"/>
    <w:rsid w:val="00CF71CE"/>
    <w:rsid w:val="00CF7A27"/>
    <w:rsid w:val="00D00C48"/>
    <w:rsid w:val="00D00D59"/>
    <w:rsid w:val="00D0251C"/>
    <w:rsid w:val="00D07162"/>
    <w:rsid w:val="00D1030F"/>
    <w:rsid w:val="00D10D37"/>
    <w:rsid w:val="00D116E9"/>
    <w:rsid w:val="00D122B8"/>
    <w:rsid w:val="00D13723"/>
    <w:rsid w:val="00D13CB2"/>
    <w:rsid w:val="00D14DFE"/>
    <w:rsid w:val="00D16338"/>
    <w:rsid w:val="00D165AD"/>
    <w:rsid w:val="00D166BA"/>
    <w:rsid w:val="00D16B62"/>
    <w:rsid w:val="00D17014"/>
    <w:rsid w:val="00D179E6"/>
    <w:rsid w:val="00D209DD"/>
    <w:rsid w:val="00D21399"/>
    <w:rsid w:val="00D21484"/>
    <w:rsid w:val="00D216F6"/>
    <w:rsid w:val="00D219E8"/>
    <w:rsid w:val="00D21D46"/>
    <w:rsid w:val="00D25A91"/>
    <w:rsid w:val="00D27C46"/>
    <w:rsid w:val="00D30468"/>
    <w:rsid w:val="00D3136E"/>
    <w:rsid w:val="00D34315"/>
    <w:rsid w:val="00D346E8"/>
    <w:rsid w:val="00D356F5"/>
    <w:rsid w:val="00D35BCA"/>
    <w:rsid w:val="00D36A69"/>
    <w:rsid w:val="00D409D2"/>
    <w:rsid w:val="00D40A30"/>
    <w:rsid w:val="00D41839"/>
    <w:rsid w:val="00D41FAC"/>
    <w:rsid w:val="00D42A1F"/>
    <w:rsid w:val="00D4337A"/>
    <w:rsid w:val="00D43BE8"/>
    <w:rsid w:val="00D43D67"/>
    <w:rsid w:val="00D45916"/>
    <w:rsid w:val="00D4745F"/>
    <w:rsid w:val="00D50700"/>
    <w:rsid w:val="00D51920"/>
    <w:rsid w:val="00D52214"/>
    <w:rsid w:val="00D52359"/>
    <w:rsid w:val="00D546F9"/>
    <w:rsid w:val="00D548C7"/>
    <w:rsid w:val="00D55DEC"/>
    <w:rsid w:val="00D61A5C"/>
    <w:rsid w:val="00D62E8E"/>
    <w:rsid w:val="00D63DD1"/>
    <w:rsid w:val="00D64CC3"/>
    <w:rsid w:val="00D6528B"/>
    <w:rsid w:val="00D653E4"/>
    <w:rsid w:val="00D6585E"/>
    <w:rsid w:val="00D70DFB"/>
    <w:rsid w:val="00D71229"/>
    <w:rsid w:val="00D716F3"/>
    <w:rsid w:val="00D71B11"/>
    <w:rsid w:val="00D75452"/>
    <w:rsid w:val="00D756CA"/>
    <w:rsid w:val="00D774C4"/>
    <w:rsid w:val="00D77D41"/>
    <w:rsid w:val="00D77F38"/>
    <w:rsid w:val="00D801D5"/>
    <w:rsid w:val="00D81027"/>
    <w:rsid w:val="00D814B2"/>
    <w:rsid w:val="00D81CB6"/>
    <w:rsid w:val="00D85EA8"/>
    <w:rsid w:val="00D87EAE"/>
    <w:rsid w:val="00D91C23"/>
    <w:rsid w:val="00D9260B"/>
    <w:rsid w:val="00D92F82"/>
    <w:rsid w:val="00D93DF0"/>
    <w:rsid w:val="00D94F81"/>
    <w:rsid w:val="00D9597A"/>
    <w:rsid w:val="00DA0ABE"/>
    <w:rsid w:val="00DA188E"/>
    <w:rsid w:val="00DA2D01"/>
    <w:rsid w:val="00DA3416"/>
    <w:rsid w:val="00DA46CD"/>
    <w:rsid w:val="00DA544E"/>
    <w:rsid w:val="00DA60E9"/>
    <w:rsid w:val="00DA6223"/>
    <w:rsid w:val="00DA7DFD"/>
    <w:rsid w:val="00DB0816"/>
    <w:rsid w:val="00DB1420"/>
    <w:rsid w:val="00DB1749"/>
    <w:rsid w:val="00DB181E"/>
    <w:rsid w:val="00DB4F11"/>
    <w:rsid w:val="00DB546E"/>
    <w:rsid w:val="00DC0901"/>
    <w:rsid w:val="00DC2B62"/>
    <w:rsid w:val="00DC5515"/>
    <w:rsid w:val="00DC5876"/>
    <w:rsid w:val="00DC6193"/>
    <w:rsid w:val="00DD0343"/>
    <w:rsid w:val="00DD1352"/>
    <w:rsid w:val="00DD255A"/>
    <w:rsid w:val="00DD349D"/>
    <w:rsid w:val="00DD3A41"/>
    <w:rsid w:val="00DD46ED"/>
    <w:rsid w:val="00DD4966"/>
    <w:rsid w:val="00DD6108"/>
    <w:rsid w:val="00DD69C0"/>
    <w:rsid w:val="00DD73CC"/>
    <w:rsid w:val="00DD775D"/>
    <w:rsid w:val="00DE0C06"/>
    <w:rsid w:val="00DE1A30"/>
    <w:rsid w:val="00DE2955"/>
    <w:rsid w:val="00DE355C"/>
    <w:rsid w:val="00DE4199"/>
    <w:rsid w:val="00DE475A"/>
    <w:rsid w:val="00DE530E"/>
    <w:rsid w:val="00DE59E2"/>
    <w:rsid w:val="00DE5F35"/>
    <w:rsid w:val="00DE6753"/>
    <w:rsid w:val="00DE6D74"/>
    <w:rsid w:val="00DF36F9"/>
    <w:rsid w:val="00DF6D64"/>
    <w:rsid w:val="00DF78CD"/>
    <w:rsid w:val="00DF7D53"/>
    <w:rsid w:val="00E00239"/>
    <w:rsid w:val="00E031CD"/>
    <w:rsid w:val="00E04EEB"/>
    <w:rsid w:val="00E04F36"/>
    <w:rsid w:val="00E051BA"/>
    <w:rsid w:val="00E074D0"/>
    <w:rsid w:val="00E076BA"/>
    <w:rsid w:val="00E120EC"/>
    <w:rsid w:val="00E123F4"/>
    <w:rsid w:val="00E13E4C"/>
    <w:rsid w:val="00E15DC5"/>
    <w:rsid w:val="00E161E3"/>
    <w:rsid w:val="00E16F24"/>
    <w:rsid w:val="00E178A9"/>
    <w:rsid w:val="00E17C82"/>
    <w:rsid w:val="00E202CA"/>
    <w:rsid w:val="00E202F0"/>
    <w:rsid w:val="00E2081D"/>
    <w:rsid w:val="00E21523"/>
    <w:rsid w:val="00E22D42"/>
    <w:rsid w:val="00E23669"/>
    <w:rsid w:val="00E23A9C"/>
    <w:rsid w:val="00E241AD"/>
    <w:rsid w:val="00E24E86"/>
    <w:rsid w:val="00E2568E"/>
    <w:rsid w:val="00E25E1F"/>
    <w:rsid w:val="00E266B5"/>
    <w:rsid w:val="00E30198"/>
    <w:rsid w:val="00E30E6D"/>
    <w:rsid w:val="00E33150"/>
    <w:rsid w:val="00E3351D"/>
    <w:rsid w:val="00E33B2C"/>
    <w:rsid w:val="00E34865"/>
    <w:rsid w:val="00E34878"/>
    <w:rsid w:val="00E35223"/>
    <w:rsid w:val="00E36FB0"/>
    <w:rsid w:val="00E4022D"/>
    <w:rsid w:val="00E40526"/>
    <w:rsid w:val="00E41681"/>
    <w:rsid w:val="00E42621"/>
    <w:rsid w:val="00E427FC"/>
    <w:rsid w:val="00E427FE"/>
    <w:rsid w:val="00E42824"/>
    <w:rsid w:val="00E43238"/>
    <w:rsid w:val="00E4364C"/>
    <w:rsid w:val="00E43F79"/>
    <w:rsid w:val="00E4420B"/>
    <w:rsid w:val="00E44769"/>
    <w:rsid w:val="00E44FD6"/>
    <w:rsid w:val="00E4534A"/>
    <w:rsid w:val="00E50233"/>
    <w:rsid w:val="00E50A49"/>
    <w:rsid w:val="00E51298"/>
    <w:rsid w:val="00E5137E"/>
    <w:rsid w:val="00E52AC4"/>
    <w:rsid w:val="00E54BCD"/>
    <w:rsid w:val="00E565C7"/>
    <w:rsid w:val="00E57344"/>
    <w:rsid w:val="00E57AE1"/>
    <w:rsid w:val="00E61BED"/>
    <w:rsid w:val="00E62A6E"/>
    <w:rsid w:val="00E64561"/>
    <w:rsid w:val="00E656E8"/>
    <w:rsid w:val="00E65F01"/>
    <w:rsid w:val="00E67BF0"/>
    <w:rsid w:val="00E7139E"/>
    <w:rsid w:val="00E720F3"/>
    <w:rsid w:val="00E7272D"/>
    <w:rsid w:val="00E73A01"/>
    <w:rsid w:val="00E75F4D"/>
    <w:rsid w:val="00E760EA"/>
    <w:rsid w:val="00E80839"/>
    <w:rsid w:val="00E81574"/>
    <w:rsid w:val="00E82522"/>
    <w:rsid w:val="00E82849"/>
    <w:rsid w:val="00E82CC8"/>
    <w:rsid w:val="00E8316B"/>
    <w:rsid w:val="00E83BDC"/>
    <w:rsid w:val="00E84CF8"/>
    <w:rsid w:val="00E866B8"/>
    <w:rsid w:val="00E86724"/>
    <w:rsid w:val="00E90979"/>
    <w:rsid w:val="00E90AD6"/>
    <w:rsid w:val="00E90EA1"/>
    <w:rsid w:val="00E91CF4"/>
    <w:rsid w:val="00E92221"/>
    <w:rsid w:val="00E92468"/>
    <w:rsid w:val="00E92D7B"/>
    <w:rsid w:val="00E94BEE"/>
    <w:rsid w:val="00E9550A"/>
    <w:rsid w:val="00E95843"/>
    <w:rsid w:val="00E969C9"/>
    <w:rsid w:val="00E96B34"/>
    <w:rsid w:val="00E971BD"/>
    <w:rsid w:val="00EA099C"/>
    <w:rsid w:val="00EA09AD"/>
    <w:rsid w:val="00EA10E0"/>
    <w:rsid w:val="00EA11AE"/>
    <w:rsid w:val="00EA21F0"/>
    <w:rsid w:val="00EA3322"/>
    <w:rsid w:val="00EA3390"/>
    <w:rsid w:val="00EA3C64"/>
    <w:rsid w:val="00EA3E5D"/>
    <w:rsid w:val="00EA470F"/>
    <w:rsid w:val="00EA478B"/>
    <w:rsid w:val="00EA4D4C"/>
    <w:rsid w:val="00EA56F6"/>
    <w:rsid w:val="00EA5C77"/>
    <w:rsid w:val="00EB1463"/>
    <w:rsid w:val="00EB2AF8"/>
    <w:rsid w:val="00EB5171"/>
    <w:rsid w:val="00EB51E4"/>
    <w:rsid w:val="00EB5C6A"/>
    <w:rsid w:val="00EB755E"/>
    <w:rsid w:val="00EC0088"/>
    <w:rsid w:val="00EC023D"/>
    <w:rsid w:val="00EC239E"/>
    <w:rsid w:val="00EC2B2D"/>
    <w:rsid w:val="00EC3B95"/>
    <w:rsid w:val="00EC522F"/>
    <w:rsid w:val="00EC5D62"/>
    <w:rsid w:val="00EC7293"/>
    <w:rsid w:val="00EC766B"/>
    <w:rsid w:val="00ED0209"/>
    <w:rsid w:val="00ED44A2"/>
    <w:rsid w:val="00ED7389"/>
    <w:rsid w:val="00EE01AD"/>
    <w:rsid w:val="00EE13F2"/>
    <w:rsid w:val="00EE1B3A"/>
    <w:rsid w:val="00EE25EC"/>
    <w:rsid w:val="00EE2B78"/>
    <w:rsid w:val="00EE3014"/>
    <w:rsid w:val="00EE42E7"/>
    <w:rsid w:val="00EE4378"/>
    <w:rsid w:val="00EE48B6"/>
    <w:rsid w:val="00EF0019"/>
    <w:rsid w:val="00EF02E7"/>
    <w:rsid w:val="00EF02F0"/>
    <w:rsid w:val="00EF1AA6"/>
    <w:rsid w:val="00EF2174"/>
    <w:rsid w:val="00EF34AA"/>
    <w:rsid w:val="00EF3CC7"/>
    <w:rsid w:val="00EF55B8"/>
    <w:rsid w:val="00EF7E29"/>
    <w:rsid w:val="00F00110"/>
    <w:rsid w:val="00F02194"/>
    <w:rsid w:val="00F0395B"/>
    <w:rsid w:val="00F03DB7"/>
    <w:rsid w:val="00F04A95"/>
    <w:rsid w:val="00F07234"/>
    <w:rsid w:val="00F07BAC"/>
    <w:rsid w:val="00F07BED"/>
    <w:rsid w:val="00F10F67"/>
    <w:rsid w:val="00F11D44"/>
    <w:rsid w:val="00F11ED7"/>
    <w:rsid w:val="00F12361"/>
    <w:rsid w:val="00F12F81"/>
    <w:rsid w:val="00F14B3F"/>
    <w:rsid w:val="00F14E36"/>
    <w:rsid w:val="00F15CC9"/>
    <w:rsid w:val="00F16B5B"/>
    <w:rsid w:val="00F200E5"/>
    <w:rsid w:val="00F20467"/>
    <w:rsid w:val="00F21A10"/>
    <w:rsid w:val="00F22AA0"/>
    <w:rsid w:val="00F232BF"/>
    <w:rsid w:val="00F23F85"/>
    <w:rsid w:val="00F25034"/>
    <w:rsid w:val="00F271E8"/>
    <w:rsid w:val="00F272CF"/>
    <w:rsid w:val="00F276C7"/>
    <w:rsid w:val="00F31063"/>
    <w:rsid w:val="00F32B23"/>
    <w:rsid w:val="00F33819"/>
    <w:rsid w:val="00F33ECB"/>
    <w:rsid w:val="00F3545D"/>
    <w:rsid w:val="00F3735F"/>
    <w:rsid w:val="00F405E8"/>
    <w:rsid w:val="00F410BF"/>
    <w:rsid w:val="00F41231"/>
    <w:rsid w:val="00F427AE"/>
    <w:rsid w:val="00F428EC"/>
    <w:rsid w:val="00F43608"/>
    <w:rsid w:val="00F43789"/>
    <w:rsid w:val="00F43B8F"/>
    <w:rsid w:val="00F45161"/>
    <w:rsid w:val="00F46EC0"/>
    <w:rsid w:val="00F4745D"/>
    <w:rsid w:val="00F47FCC"/>
    <w:rsid w:val="00F507D0"/>
    <w:rsid w:val="00F50CE0"/>
    <w:rsid w:val="00F52044"/>
    <w:rsid w:val="00F5261D"/>
    <w:rsid w:val="00F5267B"/>
    <w:rsid w:val="00F52806"/>
    <w:rsid w:val="00F530CE"/>
    <w:rsid w:val="00F53D8A"/>
    <w:rsid w:val="00F5537B"/>
    <w:rsid w:val="00F55999"/>
    <w:rsid w:val="00F5614E"/>
    <w:rsid w:val="00F56528"/>
    <w:rsid w:val="00F56D52"/>
    <w:rsid w:val="00F570F8"/>
    <w:rsid w:val="00F60268"/>
    <w:rsid w:val="00F61198"/>
    <w:rsid w:val="00F63DFF"/>
    <w:rsid w:val="00F63EBA"/>
    <w:rsid w:val="00F6462A"/>
    <w:rsid w:val="00F64B6C"/>
    <w:rsid w:val="00F652D7"/>
    <w:rsid w:val="00F66EE8"/>
    <w:rsid w:val="00F6703E"/>
    <w:rsid w:val="00F70250"/>
    <w:rsid w:val="00F70B7E"/>
    <w:rsid w:val="00F70FC5"/>
    <w:rsid w:val="00F73485"/>
    <w:rsid w:val="00F73B5B"/>
    <w:rsid w:val="00F76888"/>
    <w:rsid w:val="00F773ED"/>
    <w:rsid w:val="00F812FA"/>
    <w:rsid w:val="00F81712"/>
    <w:rsid w:val="00F819AB"/>
    <w:rsid w:val="00F82C59"/>
    <w:rsid w:val="00F82FC9"/>
    <w:rsid w:val="00F8305B"/>
    <w:rsid w:val="00F83EFD"/>
    <w:rsid w:val="00F83EFE"/>
    <w:rsid w:val="00F84ECA"/>
    <w:rsid w:val="00F85BA9"/>
    <w:rsid w:val="00F876D2"/>
    <w:rsid w:val="00F9012E"/>
    <w:rsid w:val="00F90683"/>
    <w:rsid w:val="00F90C2A"/>
    <w:rsid w:val="00F90C50"/>
    <w:rsid w:val="00F91D9B"/>
    <w:rsid w:val="00F92141"/>
    <w:rsid w:val="00F9483F"/>
    <w:rsid w:val="00F94B43"/>
    <w:rsid w:val="00F97A20"/>
    <w:rsid w:val="00FA070F"/>
    <w:rsid w:val="00FA0ECC"/>
    <w:rsid w:val="00FA1D6E"/>
    <w:rsid w:val="00FA1EEC"/>
    <w:rsid w:val="00FA3750"/>
    <w:rsid w:val="00FA4528"/>
    <w:rsid w:val="00FA4704"/>
    <w:rsid w:val="00FA4DB5"/>
    <w:rsid w:val="00FA5AF0"/>
    <w:rsid w:val="00FA6C78"/>
    <w:rsid w:val="00FB0D1A"/>
    <w:rsid w:val="00FB2B8E"/>
    <w:rsid w:val="00FB2D0F"/>
    <w:rsid w:val="00FB45B3"/>
    <w:rsid w:val="00FB49D2"/>
    <w:rsid w:val="00FB558E"/>
    <w:rsid w:val="00FB55DA"/>
    <w:rsid w:val="00FB5785"/>
    <w:rsid w:val="00FB74C4"/>
    <w:rsid w:val="00FC008F"/>
    <w:rsid w:val="00FC0F0E"/>
    <w:rsid w:val="00FC135F"/>
    <w:rsid w:val="00FC1883"/>
    <w:rsid w:val="00FC3722"/>
    <w:rsid w:val="00FC417D"/>
    <w:rsid w:val="00FC4DC7"/>
    <w:rsid w:val="00FC7073"/>
    <w:rsid w:val="00FD2F4E"/>
    <w:rsid w:val="00FD36CF"/>
    <w:rsid w:val="00FD3A5C"/>
    <w:rsid w:val="00FD5185"/>
    <w:rsid w:val="00FD5354"/>
    <w:rsid w:val="00FD6AC5"/>
    <w:rsid w:val="00FD6FC4"/>
    <w:rsid w:val="00FD7240"/>
    <w:rsid w:val="00FD7B96"/>
    <w:rsid w:val="00FD7DDA"/>
    <w:rsid w:val="00FD7F2F"/>
    <w:rsid w:val="00FE3072"/>
    <w:rsid w:val="00FE58B0"/>
    <w:rsid w:val="00FE59A5"/>
    <w:rsid w:val="00FE5CC2"/>
    <w:rsid w:val="00FE628C"/>
    <w:rsid w:val="00FE6DCF"/>
    <w:rsid w:val="00FF0683"/>
    <w:rsid w:val="00FF0C1A"/>
    <w:rsid w:val="00FF1440"/>
    <w:rsid w:val="00FF2A00"/>
    <w:rsid w:val="00FF41C7"/>
    <w:rsid w:val="00FF5C71"/>
    <w:rsid w:val="00FF5EB2"/>
    <w:rsid w:val="00FF6038"/>
    <w:rsid w:val="00FF6703"/>
    <w:rsid w:val="00FF6C04"/>
    <w:rsid w:val="56CC9384"/>
    <w:rsid w:val="6764022B"/>
    <w:rsid w:val="6E71D84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0EBE"/>
  <w15:chartTrackingRefBased/>
  <w15:docId w15:val="{51753A43-4D86-40C7-ABDC-FCBC8A6C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4D"/>
    <w:rPr>
      <w:rFonts w:ascii="Segoe UI Light" w:hAnsi="Segoe UI Light"/>
      <w:sz w:val="19"/>
    </w:rPr>
  </w:style>
  <w:style w:type="paragraph" w:styleId="Heading1">
    <w:name w:val="heading 1"/>
    <w:basedOn w:val="Normal"/>
    <w:link w:val="Heading1Char"/>
    <w:uiPriority w:val="9"/>
    <w:qFormat/>
    <w:rsid w:val="00797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5"/>
  </w:style>
  <w:style w:type="paragraph" w:styleId="Footer">
    <w:name w:val="footer"/>
    <w:basedOn w:val="Normal"/>
    <w:link w:val="FooterChar"/>
    <w:uiPriority w:val="99"/>
    <w:unhideWhenUsed/>
    <w:rsid w:val="00F70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5"/>
  </w:style>
  <w:style w:type="table" w:styleId="TableGrid">
    <w:name w:val="Table Grid"/>
    <w:basedOn w:val="TableNormal"/>
    <w:uiPriority w:val="39"/>
    <w:rsid w:val="0016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C03"/>
    <w:rPr>
      <w:color w:val="00AA5C" w:themeColor="hyperlink"/>
      <w:u w:val="single"/>
    </w:rPr>
  </w:style>
  <w:style w:type="character" w:styleId="UnresolvedMention">
    <w:name w:val="Unresolved Mention"/>
    <w:basedOn w:val="DefaultParagraphFont"/>
    <w:uiPriority w:val="99"/>
    <w:semiHidden/>
    <w:unhideWhenUsed/>
    <w:rsid w:val="001A7C03"/>
    <w:rPr>
      <w:color w:val="605E5C"/>
      <w:shd w:val="clear" w:color="auto" w:fill="E1DFDD"/>
    </w:rPr>
  </w:style>
  <w:style w:type="character" w:styleId="CommentReference">
    <w:name w:val="annotation reference"/>
    <w:basedOn w:val="DefaultParagraphFont"/>
    <w:uiPriority w:val="99"/>
    <w:semiHidden/>
    <w:unhideWhenUsed/>
    <w:rsid w:val="00D93DF0"/>
    <w:rPr>
      <w:sz w:val="16"/>
      <w:szCs w:val="16"/>
    </w:rPr>
  </w:style>
  <w:style w:type="paragraph" w:styleId="CommentText">
    <w:name w:val="annotation text"/>
    <w:basedOn w:val="Normal"/>
    <w:link w:val="CommentTextChar"/>
    <w:uiPriority w:val="99"/>
    <w:unhideWhenUsed/>
    <w:rsid w:val="00D93DF0"/>
    <w:pPr>
      <w:spacing w:line="240" w:lineRule="auto"/>
    </w:pPr>
    <w:rPr>
      <w:szCs w:val="20"/>
    </w:rPr>
  </w:style>
  <w:style w:type="character" w:customStyle="1" w:styleId="CommentTextChar">
    <w:name w:val="Comment Text Char"/>
    <w:basedOn w:val="DefaultParagraphFont"/>
    <w:link w:val="CommentText"/>
    <w:uiPriority w:val="99"/>
    <w:rsid w:val="00D93DF0"/>
    <w:rPr>
      <w:sz w:val="20"/>
      <w:szCs w:val="20"/>
    </w:rPr>
  </w:style>
  <w:style w:type="paragraph" w:styleId="CommentSubject">
    <w:name w:val="annotation subject"/>
    <w:basedOn w:val="CommentText"/>
    <w:next w:val="CommentText"/>
    <w:link w:val="CommentSubjectChar"/>
    <w:uiPriority w:val="99"/>
    <w:semiHidden/>
    <w:unhideWhenUsed/>
    <w:rsid w:val="00D93DF0"/>
    <w:rPr>
      <w:b/>
      <w:bCs/>
    </w:rPr>
  </w:style>
  <w:style w:type="character" w:customStyle="1" w:styleId="CommentSubjectChar">
    <w:name w:val="Comment Subject Char"/>
    <w:basedOn w:val="CommentTextChar"/>
    <w:link w:val="CommentSubject"/>
    <w:uiPriority w:val="99"/>
    <w:semiHidden/>
    <w:rsid w:val="00D93DF0"/>
    <w:rPr>
      <w:b/>
      <w:bCs/>
      <w:sz w:val="20"/>
      <w:szCs w:val="20"/>
    </w:rPr>
  </w:style>
  <w:style w:type="paragraph" w:styleId="Revision">
    <w:name w:val="Revision"/>
    <w:hidden/>
    <w:uiPriority w:val="99"/>
    <w:semiHidden/>
    <w:rsid w:val="00207858"/>
    <w:pPr>
      <w:spacing w:after="0" w:line="240" w:lineRule="auto"/>
    </w:pPr>
  </w:style>
  <w:style w:type="character" w:customStyle="1" w:styleId="Heading1Char">
    <w:name w:val="Heading 1 Char"/>
    <w:basedOn w:val="DefaultParagraphFont"/>
    <w:link w:val="Heading1"/>
    <w:uiPriority w:val="9"/>
    <w:rsid w:val="00797486"/>
    <w:rPr>
      <w:rFonts w:ascii="Times New Roman" w:eastAsia="Times New Roman" w:hAnsi="Times New Roman" w:cs="Times New Roman"/>
      <w:b/>
      <w:bCs/>
      <w:kern w:val="36"/>
      <w:sz w:val="48"/>
      <w:szCs w:val="48"/>
      <w:lang w:eastAsia="en-NZ"/>
    </w:rPr>
  </w:style>
  <w:style w:type="paragraph" w:styleId="ListParagraph">
    <w:name w:val="List Paragraph"/>
    <w:basedOn w:val="Normal"/>
    <w:uiPriority w:val="34"/>
    <w:qFormat/>
    <w:rsid w:val="00346898"/>
    <w:pPr>
      <w:ind w:left="720"/>
      <w:contextualSpacing/>
    </w:pPr>
  </w:style>
  <w:style w:type="paragraph" w:styleId="FootnoteText">
    <w:name w:val="footnote text"/>
    <w:basedOn w:val="Normal"/>
    <w:link w:val="FootnoteTextChar"/>
    <w:uiPriority w:val="99"/>
    <w:semiHidden/>
    <w:unhideWhenUsed/>
    <w:rsid w:val="00B81503"/>
    <w:pPr>
      <w:spacing w:after="0" w:line="240" w:lineRule="auto"/>
    </w:pPr>
    <w:rPr>
      <w:szCs w:val="20"/>
    </w:rPr>
  </w:style>
  <w:style w:type="character" w:customStyle="1" w:styleId="FootnoteTextChar">
    <w:name w:val="Footnote Text Char"/>
    <w:basedOn w:val="DefaultParagraphFont"/>
    <w:link w:val="FootnoteText"/>
    <w:uiPriority w:val="99"/>
    <w:semiHidden/>
    <w:rsid w:val="00B81503"/>
    <w:rPr>
      <w:sz w:val="20"/>
      <w:szCs w:val="20"/>
    </w:rPr>
  </w:style>
  <w:style w:type="character" w:styleId="FootnoteReference">
    <w:name w:val="footnote reference"/>
    <w:basedOn w:val="DefaultParagraphFont"/>
    <w:uiPriority w:val="99"/>
    <w:semiHidden/>
    <w:unhideWhenUsed/>
    <w:rsid w:val="00B81503"/>
    <w:rPr>
      <w:vertAlign w:val="superscript"/>
    </w:rPr>
  </w:style>
  <w:style w:type="paragraph" w:styleId="EndnoteText">
    <w:name w:val="endnote text"/>
    <w:basedOn w:val="Normal"/>
    <w:link w:val="EndnoteTextChar"/>
    <w:uiPriority w:val="99"/>
    <w:semiHidden/>
    <w:unhideWhenUsed/>
    <w:rsid w:val="00B81503"/>
    <w:pPr>
      <w:spacing w:after="0" w:line="240" w:lineRule="auto"/>
    </w:pPr>
    <w:rPr>
      <w:szCs w:val="20"/>
    </w:rPr>
  </w:style>
  <w:style w:type="character" w:customStyle="1" w:styleId="EndnoteTextChar">
    <w:name w:val="Endnote Text Char"/>
    <w:basedOn w:val="DefaultParagraphFont"/>
    <w:link w:val="EndnoteText"/>
    <w:uiPriority w:val="99"/>
    <w:semiHidden/>
    <w:rsid w:val="00B81503"/>
    <w:rPr>
      <w:sz w:val="20"/>
      <w:szCs w:val="20"/>
    </w:rPr>
  </w:style>
  <w:style w:type="character" w:styleId="EndnoteReference">
    <w:name w:val="endnote reference"/>
    <w:basedOn w:val="DefaultParagraphFont"/>
    <w:uiPriority w:val="99"/>
    <w:semiHidden/>
    <w:unhideWhenUsed/>
    <w:rsid w:val="00B81503"/>
    <w:rPr>
      <w:vertAlign w:val="superscript"/>
    </w:rPr>
  </w:style>
  <w:style w:type="paragraph" w:customStyle="1" w:styleId="Default">
    <w:name w:val="Default"/>
    <w:rsid w:val="009770AE"/>
    <w:pPr>
      <w:autoSpaceDE w:val="0"/>
      <w:autoSpaceDN w:val="0"/>
      <w:adjustRightInd w:val="0"/>
      <w:spacing w:after="0" w:line="240" w:lineRule="auto"/>
    </w:pPr>
    <w:rPr>
      <w:rFonts w:ascii="Verdana" w:hAnsi="Verdana" w:cs="Verdana"/>
      <w:color w:val="000000"/>
      <w:sz w:val="24"/>
      <w:szCs w:val="24"/>
    </w:rPr>
  </w:style>
  <w:style w:type="paragraph" w:customStyle="1" w:styleId="BasicParagraph">
    <w:name w:val="[Basic Paragraph]"/>
    <w:basedOn w:val="Normal"/>
    <w:link w:val="BasicParagraphChar"/>
    <w:uiPriority w:val="99"/>
    <w:rsid w:val="00C36E0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DocumentFooter">
    <w:name w:val="Document Footer"/>
    <w:basedOn w:val="BasicParagraph"/>
    <w:link w:val="DocumentFooterChar"/>
    <w:qFormat/>
    <w:rsid w:val="000276A9"/>
    <w:pPr>
      <w:suppressAutoHyphens/>
      <w:spacing w:after="227"/>
      <w:jc w:val="right"/>
    </w:pPr>
    <w:rPr>
      <w:rFonts w:ascii="Segoe UI" w:hAnsi="Segoe UI" w:cs="Segoe UI"/>
      <w:color w:val="066652"/>
      <w:sz w:val="16"/>
      <w:szCs w:val="16"/>
    </w:rPr>
  </w:style>
  <w:style w:type="paragraph" w:customStyle="1" w:styleId="Heading3EV">
    <w:name w:val="Heading 3 EV"/>
    <w:basedOn w:val="Normal"/>
    <w:link w:val="Heading3EVChar"/>
    <w:qFormat/>
    <w:rsid w:val="009E49DD"/>
    <w:pPr>
      <w:spacing w:before="120" w:after="240" w:line="240" w:lineRule="auto"/>
    </w:pPr>
    <w:rPr>
      <w:rFonts w:ascii="Segoe UI Semibold" w:hAnsi="Segoe UI Semibold" w:cs="Segoe UI Semibold"/>
      <w:color w:val="1CB899" w:themeColor="accent5"/>
      <w:sz w:val="26"/>
      <w:szCs w:val="28"/>
    </w:rPr>
  </w:style>
  <w:style w:type="character" w:customStyle="1" w:styleId="BasicParagraphChar">
    <w:name w:val="[Basic Paragraph] Char"/>
    <w:basedOn w:val="DefaultParagraphFont"/>
    <w:link w:val="BasicParagraph"/>
    <w:uiPriority w:val="99"/>
    <w:rsid w:val="007A53D4"/>
    <w:rPr>
      <w:rFonts w:ascii="MinionPro-Regular" w:hAnsi="MinionPro-Regular" w:cs="MinionPro-Regular"/>
      <w:color w:val="000000"/>
      <w:sz w:val="24"/>
      <w:szCs w:val="24"/>
      <w:lang w:val="en-US"/>
    </w:rPr>
  </w:style>
  <w:style w:type="character" w:customStyle="1" w:styleId="DocumentFooterChar">
    <w:name w:val="Document Footer Char"/>
    <w:basedOn w:val="BasicParagraphChar"/>
    <w:link w:val="DocumentFooter"/>
    <w:rsid w:val="000276A9"/>
    <w:rPr>
      <w:rFonts w:ascii="Segoe UI" w:hAnsi="Segoe UI" w:cs="Segoe UI"/>
      <w:color w:val="066652"/>
      <w:sz w:val="16"/>
      <w:szCs w:val="16"/>
      <w:lang w:val="en-US"/>
    </w:rPr>
  </w:style>
  <w:style w:type="character" w:customStyle="1" w:styleId="Heading3EVChar">
    <w:name w:val="Heading 3 EV Char"/>
    <w:basedOn w:val="DefaultParagraphFont"/>
    <w:link w:val="Heading3EV"/>
    <w:rsid w:val="009E49DD"/>
    <w:rPr>
      <w:rFonts w:ascii="Segoe UI Semibold" w:hAnsi="Segoe UI Semibold" w:cs="Segoe UI Semibold"/>
      <w:color w:val="1CB899" w:themeColor="accent5"/>
      <w:sz w:val="26"/>
      <w:szCs w:val="28"/>
    </w:rPr>
  </w:style>
  <w:style w:type="paragraph" w:styleId="NoSpacing">
    <w:name w:val="No Spacing"/>
    <w:uiPriority w:val="1"/>
    <w:qFormat/>
    <w:rsid w:val="00C57FFD"/>
    <w:pPr>
      <w:spacing w:after="0" w:line="240" w:lineRule="auto"/>
    </w:pPr>
  </w:style>
  <w:style w:type="character" w:styleId="FollowedHyperlink">
    <w:name w:val="FollowedHyperlink"/>
    <w:basedOn w:val="DefaultParagraphFont"/>
    <w:uiPriority w:val="99"/>
    <w:semiHidden/>
    <w:unhideWhenUsed/>
    <w:rsid w:val="00BA5482"/>
    <w:rPr>
      <w:color w:val="A0D5B1" w:themeColor="followedHyperlink"/>
      <w:u w:val="single"/>
    </w:rPr>
  </w:style>
  <w:style w:type="paragraph" w:customStyle="1" w:styleId="TableBodyCopy">
    <w:name w:val="Table Body Copy"/>
    <w:basedOn w:val="Normal"/>
    <w:link w:val="TableBodyCopyChar"/>
    <w:qFormat/>
    <w:rsid w:val="002C4472"/>
    <w:pPr>
      <w:spacing w:after="0" w:line="240" w:lineRule="auto"/>
    </w:pPr>
    <w:rPr>
      <w:rFonts w:cs="Segoe UI Light"/>
      <w:sz w:val="17"/>
      <w:szCs w:val="18"/>
    </w:rPr>
  </w:style>
  <w:style w:type="paragraph" w:customStyle="1" w:styleId="NormalRegular">
    <w:name w:val="Normal Regular"/>
    <w:basedOn w:val="Normal"/>
    <w:link w:val="NormalRegularChar"/>
    <w:qFormat/>
    <w:rsid w:val="007238AE"/>
    <w:pPr>
      <w:spacing w:after="0" w:line="240" w:lineRule="auto"/>
    </w:pPr>
    <w:rPr>
      <w:rFonts w:cstheme="minorHAnsi"/>
    </w:rPr>
  </w:style>
  <w:style w:type="character" w:customStyle="1" w:styleId="TableBodyCopyChar">
    <w:name w:val="Table Body Copy Char"/>
    <w:basedOn w:val="DefaultParagraphFont"/>
    <w:link w:val="TableBodyCopy"/>
    <w:rsid w:val="002C4472"/>
    <w:rPr>
      <w:rFonts w:ascii="Segoe UI Light" w:hAnsi="Segoe UI Light" w:cs="Segoe UI Light"/>
      <w:sz w:val="17"/>
      <w:szCs w:val="18"/>
    </w:rPr>
  </w:style>
  <w:style w:type="character" w:customStyle="1" w:styleId="NormalRegularChar">
    <w:name w:val="Normal Regular Char"/>
    <w:basedOn w:val="DefaultParagraphFont"/>
    <w:link w:val="NormalRegular"/>
    <w:rsid w:val="007238AE"/>
    <w:rPr>
      <w:rFonts w:cstheme="minorHAnsi"/>
      <w:sz w:val="20"/>
    </w:rPr>
  </w:style>
  <w:style w:type="character" w:customStyle="1" w:styleId="insertwords">
    <w:name w:val="insertwords"/>
    <w:basedOn w:val="DefaultParagraphFont"/>
    <w:rsid w:val="000B78B3"/>
  </w:style>
  <w:style w:type="character" w:styleId="Emphasis">
    <w:name w:val="Emphasis"/>
    <w:basedOn w:val="DefaultParagraphFont"/>
    <w:uiPriority w:val="20"/>
    <w:qFormat/>
    <w:rsid w:val="000B78B3"/>
    <w:rPr>
      <w:i/>
      <w:iCs/>
    </w:rPr>
  </w:style>
  <w:style w:type="character" w:styleId="Strong">
    <w:name w:val="Strong"/>
    <w:basedOn w:val="DefaultParagraphFont"/>
    <w:uiPriority w:val="22"/>
    <w:qFormat/>
    <w:rsid w:val="00ED7389"/>
    <w:rPr>
      <w:b/>
      <w:bCs/>
    </w:rPr>
  </w:style>
  <w:style w:type="character" w:styleId="Mention">
    <w:name w:val="Mention"/>
    <w:basedOn w:val="DefaultParagraphFont"/>
    <w:uiPriority w:val="99"/>
    <w:unhideWhenUsed/>
    <w:rsid w:val="00FC70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0816">
      <w:bodyDiv w:val="1"/>
      <w:marLeft w:val="0"/>
      <w:marRight w:val="0"/>
      <w:marTop w:val="0"/>
      <w:marBottom w:val="0"/>
      <w:divBdr>
        <w:top w:val="none" w:sz="0" w:space="0" w:color="auto"/>
        <w:left w:val="none" w:sz="0" w:space="0" w:color="auto"/>
        <w:bottom w:val="none" w:sz="0" w:space="0" w:color="auto"/>
        <w:right w:val="none" w:sz="0" w:space="0" w:color="auto"/>
      </w:divBdr>
    </w:div>
    <w:div w:id="23987577">
      <w:bodyDiv w:val="1"/>
      <w:marLeft w:val="0"/>
      <w:marRight w:val="0"/>
      <w:marTop w:val="0"/>
      <w:marBottom w:val="0"/>
      <w:divBdr>
        <w:top w:val="none" w:sz="0" w:space="0" w:color="auto"/>
        <w:left w:val="none" w:sz="0" w:space="0" w:color="auto"/>
        <w:bottom w:val="none" w:sz="0" w:space="0" w:color="auto"/>
        <w:right w:val="none" w:sz="0" w:space="0" w:color="auto"/>
      </w:divBdr>
    </w:div>
    <w:div w:id="287703263">
      <w:bodyDiv w:val="1"/>
      <w:marLeft w:val="0"/>
      <w:marRight w:val="0"/>
      <w:marTop w:val="0"/>
      <w:marBottom w:val="0"/>
      <w:divBdr>
        <w:top w:val="none" w:sz="0" w:space="0" w:color="auto"/>
        <w:left w:val="none" w:sz="0" w:space="0" w:color="auto"/>
        <w:bottom w:val="none" w:sz="0" w:space="0" w:color="auto"/>
        <w:right w:val="none" w:sz="0" w:space="0" w:color="auto"/>
      </w:divBdr>
    </w:div>
    <w:div w:id="430857159">
      <w:bodyDiv w:val="1"/>
      <w:marLeft w:val="0"/>
      <w:marRight w:val="0"/>
      <w:marTop w:val="0"/>
      <w:marBottom w:val="0"/>
      <w:divBdr>
        <w:top w:val="none" w:sz="0" w:space="0" w:color="auto"/>
        <w:left w:val="none" w:sz="0" w:space="0" w:color="auto"/>
        <w:bottom w:val="none" w:sz="0" w:space="0" w:color="auto"/>
        <w:right w:val="none" w:sz="0" w:space="0" w:color="auto"/>
      </w:divBdr>
    </w:div>
    <w:div w:id="462622108">
      <w:bodyDiv w:val="1"/>
      <w:marLeft w:val="0"/>
      <w:marRight w:val="0"/>
      <w:marTop w:val="0"/>
      <w:marBottom w:val="0"/>
      <w:divBdr>
        <w:top w:val="none" w:sz="0" w:space="0" w:color="auto"/>
        <w:left w:val="none" w:sz="0" w:space="0" w:color="auto"/>
        <w:bottom w:val="none" w:sz="0" w:space="0" w:color="auto"/>
        <w:right w:val="none" w:sz="0" w:space="0" w:color="auto"/>
      </w:divBdr>
    </w:div>
    <w:div w:id="579561496">
      <w:bodyDiv w:val="1"/>
      <w:marLeft w:val="0"/>
      <w:marRight w:val="0"/>
      <w:marTop w:val="0"/>
      <w:marBottom w:val="0"/>
      <w:divBdr>
        <w:top w:val="none" w:sz="0" w:space="0" w:color="auto"/>
        <w:left w:val="none" w:sz="0" w:space="0" w:color="auto"/>
        <w:bottom w:val="none" w:sz="0" w:space="0" w:color="auto"/>
        <w:right w:val="none" w:sz="0" w:space="0" w:color="auto"/>
      </w:divBdr>
    </w:div>
    <w:div w:id="661860397">
      <w:bodyDiv w:val="1"/>
      <w:marLeft w:val="0"/>
      <w:marRight w:val="0"/>
      <w:marTop w:val="0"/>
      <w:marBottom w:val="0"/>
      <w:divBdr>
        <w:top w:val="none" w:sz="0" w:space="0" w:color="auto"/>
        <w:left w:val="none" w:sz="0" w:space="0" w:color="auto"/>
        <w:bottom w:val="none" w:sz="0" w:space="0" w:color="auto"/>
        <w:right w:val="none" w:sz="0" w:space="0" w:color="auto"/>
      </w:divBdr>
    </w:div>
    <w:div w:id="712777101">
      <w:bodyDiv w:val="1"/>
      <w:marLeft w:val="0"/>
      <w:marRight w:val="0"/>
      <w:marTop w:val="0"/>
      <w:marBottom w:val="0"/>
      <w:divBdr>
        <w:top w:val="none" w:sz="0" w:space="0" w:color="auto"/>
        <w:left w:val="none" w:sz="0" w:space="0" w:color="auto"/>
        <w:bottom w:val="none" w:sz="0" w:space="0" w:color="auto"/>
        <w:right w:val="none" w:sz="0" w:space="0" w:color="auto"/>
      </w:divBdr>
    </w:div>
    <w:div w:id="723793384">
      <w:bodyDiv w:val="1"/>
      <w:marLeft w:val="0"/>
      <w:marRight w:val="0"/>
      <w:marTop w:val="0"/>
      <w:marBottom w:val="0"/>
      <w:divBdr>
        <w:top w:val="none" w:sz="0" w:space="0" w:color="auto"/>
        <w:left w:val="none" w:sz="0" w:space="0" w:color="auto"/>
        <w:bottom w:val="none" w:sz="0" w:space="0" w:color="auto"/>
        <w:right w:val="none" w:sz="0" w:space="0" w:color="auto"/>
      </w:divBdr>
    </w:div>
    <w:div w:id="1586301036">
      <w:bodyDiv w:val="1"/>
      <w:marLeft w:val="0"/>
      <w:marRight w:val="0"/>
      <w:marTop w:val="0"/>
      <w:marBottom w:val="0"/>
      <w:divBdr>
        <w:top w:val="none" w:sz="0" w:space="0" w:color="auto"/>
        <w:left w:val="none" w:sz="0" w:space="0" w:color="auto"/>
        <w:bottom w:val="none" w:sz="0" w:space="0" w:color="auto"/>
        <w:right w:val="none" w:sz="0" w:space="0" w:color="auto"/>
      </w:divBdr>
    </w:div>
    <w:div w:id="1617063128">
      <w:bodyDiv w:val="1"/>
      <w:marLeft w:val="0"/>
      <w:marRight w:val="0"/>
      <w:marTop w:val="0"/>
      <w:marBottom w:val="0"/>
      <w:divBdr>
        <w:top w:val="none" w:sz="0" w:space="0" w:color="auto"/>
        <w:left w:val="none" w:sz="0" w:space="0" w:color="auto"/>
        <w:bottom w:val="none" w:sz="0" w:space="0" w:color="auto"/>
        <w:right w:val="none" w:sz="0" w:space="0" w:color="auto"/>
      </w:divBdr>
    </w:div>
    <w:div w:id="1830748847">
      <w:bodyDiv w:val="1"/>
      <w:marLeft w:val="0"/>
      <w:marRight w:val="0"/>
      <w:marTop w:val="0"/>
      <w:marBottom w:val="0"/>
      <w:divBdr>
        <w:top w:val="none" w:sz="0" w:space="0" w:color="auto"/>
        <w:left w:val="none" w:sz="0" w:space="0" w:color="auto"/>
        <w:bottom w:val="none" w:sz="0" w:space="0" w:color="auto"/>
        <w:right w:val="none" w:sz="0" w:space="0" w:color="auto"/>
      </w:divBdr>
    </w:div>
    <w:div w:id="1963146206">
      <w:bodyDiv w:val="1"/>
      <w:marLeft w:val="0"/>
      <w:marRight w:val="0"/>
      <w:marTop w:val="0"/>
      <w:marBottom w:val="0"/>
      <w:divBdr>
        <w:top w:val="none" w:sz="0" w:space="0" w:color="auto"/>
        <w:left w:val="none" w:sz="0" w:space="0" w:color="auto"/>
        <w:bottom w:val="none" w:sz="0" w:space="0" w:color="auto"/>
        <w:right w:val="none" w:sz="0" w:space="0" w:color="auto"/>
      </w:divBdr>
    </w:div>
    <w:div w:id="1999729830">
      <w:bodyDiv w:val="1"/>
      <w:marLeft w:val="0"/>
      <w:marRight w:val="0"/>
      <w:marTop w:val="0"/>
      <w:marBottom w:val="0"/>
      <w:divBdr>
        <w:top w:val="none" w:sz="0" w:space="0" w:color="auto"/>
        <w:left w:val="none" w:sz="0" w:space="0" w:color="auto"/>
        <w:bottom w:val="none" w:sz="0" w:space="0" w:color="auto"/>
        <w:right w:val="none" w:sz="0" w:space="0" w:color="auto"/>
      </w:divBdr>
    </w:div>
    <w:div w:id="2058165473">
      <w:bodyDiv w:val="1"/>
      <w:marLeft w:val="0"/>
      <w:marRight w:val="0"/>
      <w:marTop w:val="0"/>
      <w:marBottom w:val="0"/>
      <w:divBdr>
        <w:top w:val="none" w:sz="0" w:space="0" w:color="auto"/>
        <w:left w:val="none" w:sz="0" w:space="0" w:color="auto"/>
        <w:bottom w:val="none" w:sz="0" w:space="0" w:color="auto"/>
        <w:right w:val="none" w:sz="0" w:space="0" w:color="auto"/>
      </w:divBdr>
    </w:div>
    <w:div w:id="20750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close-register.companiesoffice.govt.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hyperlink" Target="http://www.sorted.org.nz/tools/investor-kickstar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isclose-register.companiesoffice.govt.n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www.disclose-register.companiesoff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consiliumnz.sharepoint.com/sites/ConsiliumTeamFiles/Shared%20Documents/General/Evidential%20Investment%20funds/Regular%20reporting/2025/06%20-%20June/ESGBF/ESGBF%20Quarterly%20Fund%20Update%20data%20summary%20-%202025.06.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Fund return</c:v>
                </c:pt>
              </c:strCache>
            </c:strRef>
          </c:tx>
          <c:spPr>
            <a:solidFill>
              <a:srgbClr val="00665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50" b="0" i="0" u="none" strike="noStrike" kern="1200" baseline="0">
                    <a:solidFill>
                      <a:schemeClr val="tx1">
                        <a:lumMod val="75000"/>
                        <a:lumOff val="25000"/>
                      </a:schemeClr>
                    </a:solidFill>
                    <a:latin typeface="Segoe UI Light" panose="020B0502040204020203" pitchFamily="34" charset="0"/>
                    <a:ea typeface="+mn-ea"/>
                    <a:cs typeface="Segoe UI Light"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Sheet1!$C$35:$E$35</c:f>
              <c:strCache>
                <c:ptCount val="3"/>
                <c:pt idx="0">
                  <c:v>31 March 2025</c:v>
                </c:pt>
                <c:pt idx="1">
                  <c:v>31 March 2024</c:v>
                </c:pt>
                <c:pt idx="2">
                  <c:v>Average annual return</c:v>
                </c:pt>
              </c:strCache>
            </c:strRef>
          </c:cat>
          <c:val>
            <c:numRef>
              <c:f>Sheet1!$C$36:$E$36</c:f>
              <c:numCache>
                <c:formatCode>0.00%</c:formatCode>
                <c:ptCount val="3"/>
                <c:pt idx="0">
                  <c:v>2.69E-2</c:v>
                </c:pt>
                <c:pt idx="1">
                  <c:v>4.1223578260367821E-2</c:v>
                </c:pt>
                <c:pt idx="2">
                  <c:v>2.9399999999999999E-2</c:v>
                </c:pt>
              </c:numCache>
            </c:numRef>
          </c:val>
          <c:extLst>
            <c:ext xmlns:c16="http://schemas.microsoft.com/office/drawing/2014/chart" uri="{C3380CC4-5D6E-409C-BE32-E72D297353CC}">
              <c16:uniqueId val="{00000000-8177-4BA6-A8A6-96E37D88BBEB}"/>
            </c:ext>
          </c:extLst>
        </c:ser>
        <c:ser>
          <c:idx val="1"/>
          <c:order val="1"/>
          <c:tx>
            <c:strRef>
              <c:f>Sheet1!$B$37</c:f>
              <c:strCache>
                <c:ptCount val="1"/>
                <c:pt idx="0">
                  <c:v>Market index</c:v>
                </c:pt>
              </c:strCache>
            </c:strRef>
          </c:tx>
          <c:spPr>
            <a:solidFill>
              <a:srgbClr val="A3D4A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50" b="0" i="0" u="none" strike="noStrike" kern="1200" baseline="0">
                    <a:solidFill>
                      <a:schemeClr val="tx1">
                        <a:lumMod val="75000"/>
                        <a:lumOff val="25000"/>
                      </a:schemeClr>
                    </a:solidFill>
                    <a:latin typeface="Segoe UI Light" panose="020B0502040204020203" pitchFamily="34" charset="0"/>
                    <a:ea typeface="+mn-ea"/>
                    <a:cs typeface="Segoe UI Light"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Sheet1!$C$35:$E$35</c:f>
              <c:strCache>
                <c:ptCount val="3"/>
                <c:pt idx="0">
                  <c:v>31 March 2025</c:v>
                </c:pt>
                <c:pt idx="1">
                  <c:v>31 March 2024</c:v>
                </c:pt>
                <c:pt idx="2">
                  <c:v>Average annual return</c:v>
                </c:pt>
              </c:strCache>
            </c:strRef>
          </c:cat>
          <c:val>
            <c:numRef>
              <c:f>Sheet1!$C$37:$E$37</c:f>
              <c:numCache>
                <c:formatCode>0.00%</c:formatCode>
                <c:ptCount val="3"/>
                <c:pt idx="0">
                  <c:v>4.1799999999999997E-2</c:v>
                </c:pt>
                <c:pt idx="1">
                  <c:v>3.7959493466738214E-2</c:v>
                </c:pt>
                <c:pt idx="2">
                  <c:v>2.69E-2</c:v>
                </c:pt>
              </c:numCache>
            </c:numRef>
          </c:val>
          <c:extLst>
            <c:ext xmlns:c16="http://schemas.microsoft.com/office/drawing/2014/chart" uri="{C3380CC4-5D6E-409C-BE32-E72D297353CC}">
              <c16:uniqueId val="{00000001-8177-4BA6-A8A6-96E37D88BBEB}"/>
            </c:ext>
          </c:extLst>
        </c:ser>
        <c:dLbls>
          <c:showLegendKey val="0"/>
          <c:showVal val="0"/>
          <c:showCatName val="0"/>
          <c:showSerName val="0"/>
          <c:showPercent val="0"/>
          <c:showBubbleSize val="0"/>
        </c:dLbls>
        <c:gapWidth val="219"/>
        <c:overlap val="-27"/>
        <c:axId val="290501519"/>
        <c:axId val="290169919"/>
      </c:barChart>
      <c:catAx>
        <c:axId val="29050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290169919"/>
        <c:crosses val="autoZero"/>
        <c:auto val="1"/>
        <c:lblAlgn val="ctr"/>
        <c:lblOffset val="100"/>
        <c:noMultiLvlLbl val="0"/>
      </c:catAx>
      <c:valAx>
        <c:axId val="290169919"/>
        <c:scaling>
          <c:orientation val="minMax"/>
          <c:max val="5.000000000000001E-2"/>
          <c:min val="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crossAx val="290501519"/>
        <c:crosses val="autoZero"/>
        <c:crossBetween val="between"/>
        <c:majorUnit val="1.0000000000000002E-2"/>
      </c:valAx>
      <c:spPr>
        <a:noFill/>
        <a:ln>
          <a:noFill/>
        </a:ln>
        <a:effectLst/>
      </c:spPr>
    </c:plotArea>
    <c:legend>
      <c:legendPos val="b"/>
      <c:layout>
        <c:manualLayout>
          <c:xMode val="edge"/>
          <c:yMode val="edge"/>
          <c:x val="0.3541734422073482"/>
          <c:y val="0.82895863174086071"/>
          <c:w val="0.29165295693849741"/>
          <c:h val="0.11104492080468938"/>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doughnutChart>
        <c:varyColors val="1"/>
        <c:ser>
          <c:idx val="0"/>
          <c:order val="0"/>
          <c:spPr>
            <a:solidFill>
              <a:schemeClr val="accent1"/>
            </a:solidFill>
            <a:ln>
              <a:noFill/>
            </a:ln>
          </c:spPr>
          <c:dPt>
            <c:idx val="0"/>
            <c:bubble3D val="0"/>
            <c:spPr>
              <a:solidFill>
                <a:schemeClr val="accent1"/>
              </a:solidFill>
              <a:ln w="9525" cap="flat" cmpd="sng" algn="ctr">
                <a:noFill/>
                <a:round/>
              </a:ln>
              <a:effectLst/>
            </c:spPr>
            <c:extLst>
              <c:ext xmlns:c16="http://schemas.microsoft.com/office/drawing/2014/chart" uri="{C3380CC4-5D6E-409C-BE32-E72D297353CC}">
                <c16:uniqueId val="{00000001-A08E-44AC-8EC4-E62342DC3D58}"/>
              </c:ext>
            </c:extLst>
          </c:dPt>
          <c:dPt>
            <c:idx val="1"/>
            <c:bubble3D val="0"/>
            <c:spPr>
              <a:solidFill>
                <a:schemeClr val="accent1"/>
              </a:solidFill>
              <a:ln w="9525" cap="flat" cmpd="sng" algn="ctr">
                <a:noFill/>
                <a:round/>
              </a:ln>
              <a:effectLst/>
            </c:spPr>
            <c:extLst>
              <c:ext xmlns:c16="http://schemas.microsoft.com/office/drawing/2014/chart" uri="{C3380CC4-5D6E-409C-BE32-E72D297353CC}">
                <c16:uniqueId val="{00000003-A08E-44AC-8EC4-E62342DC3D58}"/>
              </c:ext>
            </c:extLst>
          </c:dPt>
          <c:dLbls>
            <c:dLbl>
              <c:idx val="0"/>
              <c:layout>
                <c:manualLayout>
                  <c:x val="4.9749285070708991E-3"/>
                  <c:y val="-0.26895565092989987"/>
                </c:manualLayout>
              </c:layout>
              <c:showLegendKey val="0"/>
              <c:showVal val="0"/>
              <c:showCatName val="0"/>
              <c:showSerName val="0"/>
              <c:showPercent val="1"/>
              <c:showBubbleSize val="0"/>
              <c:extLst>
                <c:ext xmlns:c15="http://schemas.microsoft.com/office/drawing/2012/chart" uri="{CE6537A1-D6FC-4f65-9D91-7224C49458BB}">
                  <c15:layout>
                    <c:manualLayout>
                      <c:w val="0.24915422885572136"/>
                      <c:h val="0.17699570815450644"/>
                    </c:manualLayout>
                  </c15:layout>
                </c:ext>
                <c:ext xmlns:c16="http://schemas.microsoft.com/office/drawing/2014/chart" uri="{C3380CC4-5D6E-409C-BE32-E72D297353CC}">
                  <c16:uniqueId val="{00000001-A08E-44AC-8EC4-E62342DC3D5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Segoe UI Semibold" panose="020B0702040204020203" pitchFamily="34" charset="0"/>
                    <a:ea typeface="+mn-ea"/>
                    <a:cs typeface="Segoe UI Semibold" panose="020B0702040204020203" pitchFamily="34"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Sheet1!$G$30:$G$31</c:f>
              <c:strCache>
                <c:ptCount val="2"/>
                <c:pt idx="0">
                  <c:v>International fixed interest</c:v>
                </c:pt>
                <c:pt idx="1">
                  <c:v>Cash and cash equivalents</c:v>
                </c:pt>
              </c:strCache>
            </c:strRef>
          </c:cat>
          <c:val>
            <c:numRef>
              <c:f>Sheet1!$K$30:$K$31</c:f>
              <c:numCache>
                <c:formatCode>General</c:formatCode>
                <c:ptCount val="2"/>
                <c:pt idx="0" formatCode="0%">
                  <c:v>1</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4-A08E-44AC-8EC4-E62342DC3D58}"/>
            </c:ext>
          </c:extLst>
        </c:ser>
        <c:dLbls>
          <c:showLegendKey val="0"/>
          <c:showVal val="0"/>
          <c:showCatName val="0"/>
          <c:showSerName val="0"/>
          <c:showPercent val="1"/>
          <c:showBubbleSize val="0"/>
          <c:showLeaderLines val="0"/>
        </c:dLbls>
        <c:firstSliceAng val="0"/>
        <c:holeSize val="70"/>
      </c:doughnutChart>
      <c:spPr>
        <a:noFill/>
        <a:ln>
          <a:noFill/>
        </a:ln>
        <a:effectLst/>
      </c:spPr>
    </c:plotArea>
    <c:legend>
      <c:legendPos val="b"/>
      <c:legendEntry>
        <c:idx val="1"/>
        <c:delete val="1"/>
      </c:legendEntry>
      <c:layout>
        <c:manualLayout>
          <c:xMode val="edge"/>
          <c:yMode val="edge"/>
          <c:x val="3.9876220219053467E-2"/>
          <c:y val="0.78398456506746439"/>
          <c:w val="0.91220250726905316"/>
          <c:h val="0.18377470414263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doughnutChart>
        <c:varyColors val="1"/>
        <c:ser>
          <c:idx val="0"/>
          <c:order val="0"/>
          <c:tx>
            <c:strRef>
              <c:f>Sheet1!$H$29</c:f>
              <c:strCache>
                <c:ptCount val="1"/>
              </c:strCache>
            </c:strRef>
          </c:tx>
          <c:dPt>
            <c:idx val="0"/>
            <c:bubble3D val="0"/>
            <c:spPr>
              <a:solidFill>
                <a:schemeClr val="accent1"/>
              </a:solidFill>
              <a:ln w="19050" cap="flat" cmpd="sng" algn="ctr">
                <a:solidFill>
                  <a:schemeClr val="bg1"/>
                </a:solidFill>
                <a:round/>
              </a:ln>
              <a:effectLst/>
            </c:spPr>
            <c:extLst>
              <c:ext xmlns:c16="http://schemas.microsoft.com/office/drawing/2014/chart" uri="{C3380CC4-5D6E-409C-BE32-E72D297353CC}">
                <c16:uniqueId val="{00000001-1F57-45BB-9798-27F78D11EB97}"/>
              </c:ext>
            </c:extLst>
          </c:dPt>
          <c:dPt>
            <c:idx val="1"/>
            <c:bubble3D val="0"/>
            <c:spPr>
              <a:solidFill>
                <a:schemeClr val="accent3"/>
              </a:solidFill>
              <a:ln w="9525" cap="flat" cmpd="sng" algn="ctr">
                <a:solidFill>
                  <a:schemeClr val="bg1"/>
                </a:solidFill>
                <a:round/>
              </a:ln>
              <a:effectLst/>
            </c:spPr>
            <c:extLst>
              <c:ext xmlns:c16="http://schemas.microsoft.com/office/drawing/2014/chart" uri="{C3380CC4-5D6E-409C-BE32-E72D297353CC}">
                <c16:uniqueId val="{00000003-1F57-45BB-9798-27F78D11EB97}"/>
              </c:ext>
            </c:extLst>
          </c:dPt>
          <c:dLbls>
            <c:dLbl>
              <c:idx val="0"/>
              <c:layout>
                <c:manualLayout>
                  <c:x val="0.29473684210526324"/>
                  <c:y val="-0.41912950026867274"/>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Segoe UI Semibold" panose="020B0702040204020203" pitchFamily="34" charset="0"/>
                        <a:ea typeface="+mn-ea"/>
                        <a:cs typeface="Segoe UI Semibold" panose="020B0702040204020203" pitchFamily="34" charset="0"/>
                      </a:defRPr>
                    </a:pPr>
                    <a:r>
                      <a:rPr lang="en-US"/>
                      <a:t>98.59%</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1"/>
                      </a:solidFill>
                      <a:latin typeface="Segoe UI Semibold" panose="020B0702040204020203" pitchFamily="34" charset="0"/>
                      <a:ea typeface="+mn-ea"/>
                      <a:cs typeface="Segoe UI Semibold" panose="020B0702040204020203"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F57-45BB-9798-27F78D11EB97}"/>
                </c:ext>
              </c:extLst>
            </c:dLbl>
            <c:dLbl>
              <c:idx val="1"/>
              <c:layout>
                <c:manualLayout>
                  <c:x val="-5.4653589353962376E-2"/>
                  <c:y val="-7.522837184309511E-2"/>
                </c:manualLayout>
              </c:layout>
              <c:tx>
                <c:rich>
                  <a:bodyPr/>
                  <a:lstStyle/>
                  <a:p>
                    <a:r>
                      <a:rPr lang="en-US"/>
                      <a:t>1.41%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F57-45BB-9798-27F78D11EB9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solidFill>
                    <a:latin typeface="Segoe UI Semibold" panose="020B0702040204020203" pitchFamily="34" charset="0"/>
                    <a:ea typeface="+mn-ea"/>
                    <a:cs typeface="Segoe UI Semibold" panose="020B0702040204020203" pitchFamily="34"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Sheet1!$G$30:$G$31</c:f>
              <c:strCache>
                <c:ptCount val="2"/>
                <c:pt idx="0">
                  <c:v>International fixed interest</c:v>
                </c:pt>
                <c:pt idx="1">
                  <c:v>Cash and cash equivalents</c:v>
                </c:pt>
              </c:strCache>
            </c:strRef>
          </c:cat>
          <c:val>
            <c:numRef>
              <c:f>Sheet1!$H$30:$H$31</c:f>
              <c:numCache>
                <c:formatCode>0.00%</c:formatCode>
                <c:ptCount val="2"/>
                <c:pt idx="0">
                  <c:v>0.9859</c:v>
                </c:pt>
                <c:pt idx="1">
                  <c:v>1.41E-2</c:v>
                </c:pt>
              </c:numCache>
            </c:numRef>
          </c:val>
          <c:extLst>
            <c:ext xmlns:c16="http://schemas.microsoft.com/office/drawing/2014/chart" uri="{C3380CC4-5D6E-409C-BE32-E72D297353CC}">
              <c16:uniqueId val="{00000004-1F57-45BB-9798-27F78D11EB97}"/>
            </c:ext>
          </c:extLst>
        </c:ser>
        <c:dLbls>
          <c:showLegendKey val="0"/>
          <c:showVal val="0"/>
          <c:showCatName val="0"/>
          <c:showSerName val="0"/>
          <c:showPercent val="1"/>
          <c:showBubbleSize val="0"/>
          <c:showLeaderLines val="0"/>
        </c:dLbls>
        <c:firstSliceAng val="0"/>
        <c:holeSize val="70"/>
      </c:doughnutChart>
      <c:spPr>
        <a:noFill/>
        <a:ln>
          <a:noFill/>
        </a:ln>
        <a:effectLst/>
      </c:spPr>
    </c:plotArea>
    <c:legend>
      <c:legendPos val="b"/>
      <c:layout>
        <c:manualLayout>
          <c:xMode val="edge"/>
          <c:yMode val="edge"/>
          <c:x val="3.9876220219053467E-2"/>
          <c:y val="0.78398456506746439"/>
          <c:w val="0.91220250726905316"/>
          <c:h val="0.18377470414263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eme-Evidential-2022">
  <a:themeElements>
    <a:clrScheme name="Custom 39">
      <a:dk1>
        <a:srgbClr val="323232"/>
      </a:dk1>
      <a:lt1>
        <a:sysClr val="window" lastClr="FFFFFF"/>
      </a:lt1>
      <a:dk2>
        <a:srgbClr val="323232"/>
      </a:dk2>
      <a:lt2>
        <a:srgbClr val="E8E7E5"/>
      </a:lt2>
      <a:accent1>
        <a:srgbClr val="006652"/>
      </a:accent1>
      <a:accent2>
        <a:srgbClr val="00AA5C"/>
      </a:accent2>
      <a:accent3>
        <a:srgbClr val="A0D5B1"/>
      </a:accent3>
      <a:accent4>
        <a:srgbClr val="005677"/>
      </a:accent4>
      <a:accent5>
        <a:srgbClr val="1CB899"/>
      </a:accent5>
      <a:accent6>
        <a:srgbClr val="8CB8C9"/>
      </a:accent6>
      <a:hlink>
        <a:srgbClr val="00AA5C"/>
      </a:hlink>
      <a:folHlink>
        <a:srgbClr val="A0D5B1"/>
      </a:folHlink>
    </a:clrScheme>
    <a:fontScheme name="Consilium Slides">
      <a:majorFont>
        <a:latin typeface="Georgia"/>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Evidential-2022" id="{88897DEA-E1D0-4F74-BCDC-E3F4B87AC0D5}" vid="{8AF5EB04-7C3B-4551-B1C0-B710E6B25D7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20" ma:contentTypeDescription="Create a new document." ma:contentTypeScope="" ma:versionID="50d26af694f6e48b10a73ff1def35345">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fe04ce828e138ef89d0a527767ff7c10"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oc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57639a-0ccf-4f4a-8ad6-19cf61691e6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cdescription" ma:index="26" nillable="true" ma:displayName="Doc description" ma:description="Form for getting FAP's set up on Adminis. Test users to start with. " ma:format="Dropdown" ma:internalName="Doc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808859-ea63-485a-8cf1-07ab01833bd8}"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 C L I E N T ! 7 7 1 8 0 2 2 . 1 < / d o c u m e n t i d >  
     < s e n d e r i d > J E N N I F E R . S M I T H < / s e n d e r i d >  
     < s e n d e r e m a i l > J E N N I F E R . S M I T H @ N Z . D L A P I P E R . C O M < / s e n d e r e m a i l >  
     < l a s t m o d i f i e d > 2 0 2 2 - 0 2 - 2 8 T 1 1 : 1 1 : 0 0 . 0 0 0 0 0 0 0 + 1 3 : 0 0 < / l a s t m o d i f i e d >  
     < d a t a b a s e > C L I E N T < / d a t a b a s e >  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Damon O'Brien</DisplayName>
        <AccountId>13</AccountId>
        <AccountType/>
      </UserInfo>
      <UserInfo>
        <DisplayName>Mitchell Bristow</DisplayName>
        <AccountId>19</AccountId>
        <AccountType/>
      </UserInfo>
      <UserInfo>
        <DisplayName>Louisa Yandle</DisplayName>
        <AccountId>478</AccountId>
        <AccountType/>
      </UserInfo>
      <UserInfo>
        <DisplayName>Yentri Tan</DisplayName>
        <AccountId>396</AccountId>
        <AccountType/>
      </UserInfo>
      <UserInfo>
        <DisplayName>Shelly Peebles</DisplayName>
        <AccountId>164</AccountId>
        <AccountType/>
      </UserInfo>
      <UserInfo>
        <DisplayName>Amanda Wolt</DisplayName>
        <AccountId>27</AccountId>
        <AccountType/>
      </UserInfo>
      <UserInfo>
        <DisplayName>Adam Cox</DisplayName>
        <AccountId>1868</AccountId>
        <AccountType/>
      </UserInfo>
      <UserInfo>
        <DisplayName>Hunter Stewart</DisplayName>
        <AccountId>1652</AccountId>
        <AccountType/>
      </UserInfo>
      <UserInfo>
        <DisplayName>Donné Leonard</DisplayName>
        <AccountId>1118</AccountId>
        <AccountType/>
      </UserInfo>
      <UserInfo>
        <DisplayName>Bronwyn Murray</DisplayName>
        <AccountId>2991</AccountId>
        <AccountType/>
      </UserInfo>
    </SharedWithUsers>
    <TaxCatchAll xmlns="5ef5d2a5-5e0a-4ee3-8ef3-5bcda44265f1" xsi:nil="true"/>
    <lcf76f155ced4ddcb4097134ff3c332f xmlns="6371cb4f-6914-47b5-91ad-9d8989e82aef">
      <Terms xmlns="http://schemas.microsoft.com/office/infopath/2007/PartnerControls"/>
    </lcf76f155ced4ddcb4097134ff3c332f>
    <Docdescription xmlns="6371cb4f-6914-47b5-91ad-9d8989e82ae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74F67-8440-4A8B-BEFA-AE04F0D79A10}">
  <ds:schemaRefs>
    <ds:schemaRef ds:uri="http://schemas.openxmlformats.org/officeDocument/2006/bibliography"/>
  </ds:schemaRefs>
</ds:datastoreItem>
</file>

<file path=customXml/itemProps2.xml><?xml version="1.0" encoding="utf-8"?>
<ds:datastoreItem xmlns:ds="http://schemas.openxmlformats.org/officeDocument/2006/customXml" ds:itemID="{A88F1360-74E4-4496-8F84-BEB05F6F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41F0D-8792-409F-A6C2-6BF428E380A0}">
  <ds:schemaRefs>
    <ds:schemaRef ds:uri="http://www.imanage.com/work/xmlschema"/>
  </ds:schemaRefs>
</ds:datastoreItem>
</file>

<file path=customXml/itemProps4.xml><?xml version="1.0" encoding="utf-8"?>
<ds:datastoreItem xmlns:ds="http://schemas.openxmlformats.org/officeDocument/2006/customXml" ds:itemID="{1A71B2E3-690B-4DE5-A0BF-59DD24E45D72}">
  <ds:schemaRefs>
    <ds:schemaRef ds:uri="6371cb4f-6914-47b5-91ad-9d8989e82aef"/>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5ef5d2a5-5e0a-4ee3-8ef3-5bcda44265f1"/>
    <ds:schemaRef ds:uri="http://schemas.microsoft.com/office/2006/documentManagement/typ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85654F85-C998-4DAA-8208-D4735E65F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Binney</dc:creator>
  <cp:keywords/>
  <dc:description/>
  <cp:lastModifiedBy>Simon Binney</cp:lastModifiedBy>
  <cp:revision>29</cp:revision>
  <cp:lastPrinted>2024-07-27T07:29:00Z</cp:lastPrinted>
  <dcterms:created xsi:type="dcterms:W3CDTF">2025-07-25T01:57:00Z</dcterms:created>
  <dcterms:modified xsi:type="dcterms:W3CDTF">2025-07-28T06:14:00Z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0x0101007030552A2AA0B441BF7296DF63DC47DC</vt:lpwstr>
  </property>
  <property fmtid="{D5CDD505-2E9C-101B-9397-08002B2CF9AE}" pid="3" name="iManageFooter">
    <vt:lpwstr>7718022.1</vt:lpwstr>
  </property>
  <property fmtid="{D5CDD505-2E9C-101B-9397-08002B2CF9AE}" pid="4" name="MediaServiceImageTags">
    <vt:lpwstr/>
  </property>
</Properties>
</file>