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22621" w14:textId="77777777" w:rsidR="00805F97" w:rsidRPr="005311BD" w:rsidRDefault="00805F97" w:rsidP="00805F97">
      <w:pPr>
        <w:spacing w:before="240"/>
        <w:rPr>
          <w:sz w:val="32"/>
          <w:szCs w:val="32"/>
        </w:rPr>
      </w:pPr>
      <w:bookmarkStart w:id="0" w:name="_GoBack"/>
      <w:bookmarkEnd w:id="0"/>
      <w:r w:rsidRPr="005311BD">
        <w:rPr>
          <w:sz w:val="32"/>
          <w:szCs w:val="32"/>
        </w:rPr>
        <w:t>OTHER MATERIAL INFORMATION</w:t>
      </w:r>
    </w:p>
    <w:p w14:paraId="411D830D" w14:textId="2651DE87" w:rsidR="00805F97" w:rsidRDefault="00DC2094" w:rsidP="00805F97">
      <w:pPr>
        <w:spacing w:before="240"/>
      </w:pPr>
      <w:r>
        <w:rPr>
          <w:sz w:val="32"/>
          <w:szCs w:val="32"/>
        </w:rPr>
        <w:t>HOME STRAIGHT PARK</w:t>
      </w:r>
      <w:r w:rsidR="006F02E1">
        <w:rPr>
          <w:sz w:val="32"/>
          <w:szCs w:val="32"/>
        </w:rPr>
        <w:t xml:space="preserve"> </w:t>
      </w:r>
      <w:r w:rsidR="00805F97" w:rsidRPr="005311BD">
        <w:rPr>
          <w:sz w:val="32"/>
          <w:szCs w:val="32"/>
        </w:rPr>
        <w:t>PROPORTIONATE OWNERSHIP SCHEME</w:t>
      </w:r>
    </w:p>
    <w:p w14:paraId="24395301" w14:textId="2270743C" w:rsidR="00805F97" w:rsidRDefault="00805F97" w:rsidP="00805F97">
      <w:pPr>
        <w:spacing w:before="240"/>
      </w:pPr>
      <w:r>
        <w:t xml:space="preserve">This Other Material Information </w:t>
      </w:r>
      <w:r w:rsidR="00504E4D">
        <w:t>d</w:t>
      </w:r>
      <w:r>
        <w:t xml:space="preserve">ocument has been prepared to meet the requirements of section 57(1)(b) of the Financial Markets Conduct Act 2013 </w:t>
      </w:r>
      <w:r w:rsidR="00504E4D">
        <w:t xml:space="preserve">(FMCA) </w:t>
      </w:r>
      <w:r>
        <w:t xml:space="preserve">and clauses 48(1)(b) and 50(e) of Schedule 5 to the Financial Markets Conduct Regulations 2014 (FMCR) in relation to an offer of Interests in the </w:t>
      </w:r>
      <w:r w:rsidR="00F46FF8">
        <w:t>Home Straight Park</w:t>
      </w:r>
      <w:r>
        <w:t xml:space="preserve"> Proportionate Ownership Scheme (Scheme), as set out in a product disclosure statement (PDS) dated </w:t>
      </w:r>
      <w:r w:rsidR="008F20DC">
        <w:rPr>
          <w:bCs/>
        </w:rPr>
        <w:t>5 March</w:t>
      </w:r>
      <w:r w:rsidR="004346DD" w:rsidRPr="004346DD">
        <w:rPr>
          <w:bCs/>
        </w:rPr>
        <w:t xml:space="preserve"> 2020</w:t>
      </w:r>
      <w:r>
        <w:t>.</w:t>
      </w:r>
    </w:p>
    <w:p w14:paraId="46321991" w14:textId="77777777" w:rsidR="00C853BA" w:rsidRDefault="00805F97" w:rsidP="00805F97">
      <w:pPr>
        <w:spacing w:before="240"/>
      </w:pPr>
      <w:r>
        <w:t>Terms capitalised but otherwise undefined in this document have the meanings given to them in the PDS</w:t>
      </w:r>
      <w:r w:rsidR="00C704EC">
        <w:t xml:space="preserve">.  </w:t>
      </w:r>
      <w:r>
        <w:t xml:space="preserve">This </w:t>
      </w:r>
      <w:r w:rsidR="00504E4D">
        <w:t>d</w:t>
      </w:r>
      <w:r>
        <w:t>ocument must be read alongside the PDS.</w:t>
      </w:r>
    </w:p>
    <w:p w14:paraId="0B0B9F1A" w14:textId="45F432B0" w:rsidR="00805F97" w:rsidRPr="00E37105" w:rsidRDefault="00805F97" w:rsidP="00805F97">
      <w:pPr>
        <w:spacing w:before="240"/>
        <w:rPr>
          <w:b/>
        </w:rPr>
      </w:pPr>
      <w:r w:rsidRPr="00E37105">
        <w:rPr>
          <w:b/>
        </w:rPr>
        <w:t>Dated</w:t>
      </w:r>
      <w:r w:rsidR="00E37105" w:rsidRPr="004346DD">
        <w:rPr>
          <w:b/>
        </w:rPr>
        <w:t xml:space="preserve">: </w:t>
      </w:r>
      <w:r w:rsidRPr="004346DD">
        <w:rPr>
          <w:b/>
        </w:rPr>
        <w:t xml:space="preserve"> </w:t>
      </w:r>
      <w:r w:rsidR="008F20DC">
        <w:rPr>
          <w:bCs/>
        </w:rPr>
        <w:t>5</w:t>
      </w:r>
      <w:r w:rsidR="00896F30">
        <w:rPr>
          <w:bCs/>
        </w:rPr>
        <w:t xml:space="preserve"> March </w:t>
      </w:r>
      <w:r w:rsidR="00701F75" w:rsidRPr="005311BD">
        <w:t>2020</w:t>
      </w:r>
    </w:p>
    <w:p w14:paraId="57E3709A" w14:textId="77777777" w:rsidR="00805F97" w:rsidRDefault="00805F97">
      <w:pPr>
        <w:spacing w:line="240" w:lineRule="auto"/>
      </w:pPr>
      <w:r>
        <w:br w:type="page"/>
      </w:r>
    </w:p>
    <w:p w14:paraId="4B639AB6" w14:textId="77777777" w:rsidR="00805F97" w:rsidRPr="00C704EC" w:rsidRDefault="00805F97" w:rsidP="00805F97">
      <w:pPr>
        <w:spacing w:before="240"/>
        <w:rPr>
          <w:b/>
        </w:rPr>
      </w:pPr>
      <w:r w:rsidRPr="00C704EC">
        <w:rPr>
          <w:b/>
        </w:rPr>
        <w:lastRenderedPageBreak/>
        <w:t>1</w:t>
      </w:r>
      <w:r w:rsidR="00C704EC" w:rsidRPr="00C704EC">
        <w:rPr>
          <w:b/>
        </w:rPr>
        <w:t xml:space="preserve">.  </w:t>
      </w:r>
      <w:r w:rsidRPr="00C704EC">
        <w:rPr>
          <w:b/>
        </w:rPr>
        <w:t>Fee Assumptions</w:t>
      </w:r>
    </w:p>
    <w:p w14:paraId="47331EFE" w14:textId="77777777" w:rsidR="00805F97" w:rsidRDefault="00805F97" w:rsidP="00805F97">
      <w:pPr>
        <w:spacing w:before="240"/>
      </w:pPr>
      <w:r>
        <w:t>The principal assumptions on which the estimates of the fees in Section 8 of the PDS “What are the Fees?” are based are detailed below.</w:t>
      </w:r>
    </w:p>
    <w:p w14:paraId="0F38DF2D" w14:textId="77777777" w:rsidR="00805F97" w:rsidRPr="00C704EC" w:rsidRDefault="00805F97" w:rsidP="00805F97">
      <w:pPr>
        <w:spacing w:before="240"/>
        <w:rPr>
          <w:b/>
        </w:rPr>
      </w:pPr>
      <w:r w:rsidRPr="00C704EC">
        <w:rPr>
          <w:b/>
        </w:rPr>
        <w:t>Establishment fees</w:t>
      </w:r>
    </w:p>
    <w:p w14:paraId="13D68037" w14:textId="7067B795" w:rsidR="00805F97" w:rsidRDefault="00805F97" w:rsidP="00805F97">
      <w:pPr>
        <w:spacing w:before="240"/>
      </w:pPr>
      <w:r>
        <w:t>The fees payable to Oyster are the fees as set out in the Deed of Participation</w:t>
      </w:r>
      <w:r w:rsidR="00C704EC">
        <w:t xml:space="preserve">.  </w:t>
      </w:r>
      <w:r>
        <w:t>These are maximum amounts</w:t>
      </w:r>
      <w:r w:rsidR="00C704EC">
        <w:t xml:space="preserve">.  </w:t>
      </w:r>
      <w:r>
        <w:t>The amount of the marketing fees, bank legal fees, and the legal setup costs, or components of those amounts, are Oyster’s best estimates, based on its experience and the information known to it at the date of the PDS, but may be subject to change</w:t>
      </w:r>
      <w:r w:rsidR="00C704EC">
        <w:t xml:space="preserve">.  </w:t>
      </w:r>
      <w:r>
        <w:t>All other establishment fees set out at Section 8 of the PDS are maximum levels and cannot be increased</w:t>
      </w:r>
      <w:r w:rsidR="00C704EC">
        <w:t xml:space="preserve">.  </w:t>
      </w:r>
      <w:r>
        <w:t>The fees payable to third parties (being those fees other than those payable to Oyster), in Oyster’s view, represent reasonable levels for the services of the relevant third party.</w:t>
      </w:r>
    </w:p>
    <w:p w14:paraId="270180AB" w14:textId="77777777" w:rsidR="00805F97" w:rsidRPr="00C704EC" w:rsidRDefault="00805F97" w:rsidP="00805F97">
      <w:pPr>
        <w:spacing w:before="240"/>
        <w:rPr>
          <w:b/>
        </w:rPr>
      </w:pPr>
      <w:r w:rsidRPr="00C704EC">
        <w:rPr>
          <w:b/>
        </w:rPr>
        <w:t>Ongoing fees and expenses</w:t>
      </w:r>
    </w:p>
    <w:p w14:paraId="7FB1ECEB" w14:textId="3A458B0E" w:rsidR="00805F97" w:rsidRDefault="00805F97" w:rsidP="00805F97">
      <w:pPr>
        <w:spacing w:before="240"/>
      </w:pPr>
      <w:r>
        <w:t>The fees payable to Oyster are the fees as set out in the Deed of Participation</w:t>
      </w:r>
      <w:r w:rsidR="00C704EC">
        <w:t xml:space="preserve">.  </w:t>
      </w:r>
      <w:r>
        <w:t xml:space="preserve">It has been assumed that only the Property Management Fee, Scheme Management Fee and Accounting Fee are payable during the periods to </w:t>
      </w:r>
      <w:r w:rsidR="00521717" w:rsidRPr="00230FD3">
        <w:rPr>
          <w:bCs/>
        </w:rPr>
        <w:t>31 March 20</w:t>
      </w:r>
      <w:r w:rsidR="00230FD3" w:rsidRPr="00230FD3">
        <w:rPr>
          <w:bCs/>
        </w:rPr>
        <w:t>22</w:t>
      </w:r>
      <w:r>
        <w:t>.</w:t>
      </w:r>
    </w:p>
    <w:p w14:paraId="67DAFA8A" w14:textId="77777777" w:rsidR="00805F97" w:rsidRDefault="00805F97" w:rsidP="00805F97">
      <w:pPr>
        <w:spacing w:before="240"/>
      </w:pPr>
      <w:r>
        <w:t>The fees payable to others (being those fees other than those payable to Oyster) are Oyster’s best estimates, based on its experience and the information known to it at the date of the PDS, and, in Oyster’s view, represent reasonable levels for the services of the relevant third party.</w:t>
      </w:r>
    </w:p>
    <w:p w14:paraId="56CA740C" w14:textId="77777777" w:rsidR="00805F97" w:rsidRDefault="00805F97" w:rsidP="00805F97">
      <w:pPr>
        <w:spacing w:before="240"/>
      </w:pPr>
    </w:p>
    <w:p w14:paraId="2FD2CA20" w14:textId="77777777" w:rsidR="00805F97" w:rsidRDefault="00805F97">
      <w:pPr>
        <w:spacing w:line="240" w:lineRule="auto"/>
      </w:pPr>
      <w:r>
        <w:br w:type="page"/>
      </w:r>
    </w:p>
    <w:p w14:paraId="44A0F854" w14:textId="77777777" w:rsidR="00805F97" w:rsidRPr="00C704EC" w:rsidRDefault="00805F97" w:rsidP="00805F97">
      <w:pPr>
        <w:spacing w:before="240"/>
        <w:rPr>
          <w:b/>
        </w:rPr>
      </w:pPr>
      <w:r w:rsidRPr="00C704EC">
        <w:rPr>
          <w:b/>
        </w:rPr>
        <w:lastRenderedPageBreak/>
        <w:t>2</w:t>
      </w:r>
      <w:r w:rsidR="00C704EC" w:rsidRPr="00C704EC">
        <w:rPr>
          <w:b/>
        </w:rPr>
        <w:t xml:space="preserve">.  </w:t>
      </w:r>
      <w:r w:rsidRPr="00C704EC">
        <w:rPr>
          <w:b/>
        </w:rPr>
        <w:t>Total Estimated Costs of Offer and Issue</w:t>
      </w:r>
    </w:p>
    <w:p w14:paraId="6E638C06" w14:textId="77777777" w:rsidR="00805F97" w:rsidRDefault="00805F97" w:rsidP="00805F97">
      <w:pPr>
        <w:spacing w:before="240"/>
      </w:pPr>
      <w:r>
        <w:t>The table below details the total of the amounts paid or agreed to be paid by, or on behalf of, 1 or more relevant persons in connection with the offer of Interests in the Scheme.</w:t>
      </w:r>
    </w:p>
    <w:p w14:paraId="1C05100B" w14:textId="77777777" w:rsidR="006971C8" w:rsidRDefault="006971C8" w:rsidP="00805F97">
      <w:pPr>
        <w:spacing w:before="240"/>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570"/>
        <w:gridCol w:w="2995"/>
        <w:gridCol w:w="5889"/>
      </w:tblGrid>
      <w:tr w:rsidR="00CE27ED" w:rsidRPr="00430C79" w14:paraId="0CB5A562" w14:textId="77777777" w:rsidTr="005311BD">
        <w:trPr>
          <w:tblHeader/>
        </w:trPr>
        <w:tc>
          <w:tcPr>
            <w:tcW w:w="1265" w:type="pct"/>
          </w:tcPr>
          <w:p w14:paraId="09453743" w14:textId="77777777" w:rsidR="00805F97" w:rsidRPr="00430C79" w:rsidRDefault="00805F97" w:rsidP="004C3E18">
            <w:pPr>
              <w:spacing w:before="120" w:after="120" w:line="240" w:lineRule="auto"/>
              <w:rPr>
                <w:rFonts w:eastAsia="Tahoma"/>
                <w:b/>
              </w:rPr>
            </w:pPr>
            <w:r w:rsidRPr="00430C79">
              <w:rPr>
                <w:rFonts w:eastAsia="Tahoma"/>
                <w:b/>
                <w:lang w:val="en-US"/>
              </w:rPr>
              <w:t>Type of Cost</w:t>
            </w:r>
          </w:p>
        </w:tc>
        <w:tc>
          <w:tcPr>
            <w:tcW w:w="561" w:type="pct"/>
          </w:tcPr>
          <w:p w14:paraId="3F65C0D5" w14:textId="77777777" w:rsidR="00805F97" w:rsidRPr="00430C79" w:rsidRDefault="00805F97" w:rsidP="004C3E18">
            <w:pPr>
              <w:spacing w:before="120" w:after="120" w:line="240" w:lineRule="auto"/>
              <w:rPr>
                <w:rFonts w:eastAsia="Tahoma"/>
                <w:b/>
              </w:rPr>
            </w:pPr>
            <w:r w:rsidRPr="00430C79">
              <w:rPr>
                <w:rFonts w:eastAsia="Tahoma"/>
                <w:b/>
                <w:lang w:val="en-US"/>
              </w:rPr>
              <w:t>Amount</w:t>
            </w:r>
          </w:p>
        </w:tc>
        <w:tc>
          <w:tcPr>
            <w:tcW w:w="1070" w:type="pct"/>
          </w:tcPr>
          <w:p w14:paraId="3DA38DC3" w14:textId="77777777" w:rsidR="00805F97" w:rsidRPr="00430C79" w:rsidRDefault="00805F97" w:rsidP="004C3E18">
            <w:pPr>
              <w:spacing w:before="120" w:after="120" w:line="240" w:lineRule="auto"/>
              <w:rPr>
                <w:rFonts w:eastAsia="Tahoma"/>
                <w:b/>
              </w:rPr>
            </w:pPr>
            <w:r w:rsidRPr="00430C79">
              <w:rPr>
                <w:rFonts w:eastAsia="Tahoma"/>
                <w:b/>
                <w:lang w:val="en-US"/>
              </w:rPr>
              <w:t>Cost paid to</w:t>
            </w:r>
          </w:p>
        </w:tc>
        <w:tc>
          <w:tcPr>
            <w:tcW w:w="2104" w:type="pct"/>
          </w:tcPr>
          <w:p w14:paraId="46823846" w14:textId="77777777" w:rsidR="00805F97" w:rsidRPr="00430C79" w:rsidRDefault="00805F97" w:rsidP="004C3E18">
            <w:pPr>
              <w:spacing w:before="120" w:after="120" w:line="240" w:lineRule="auto"/>
              <w:rPr>
                <w:rFonts w:eastAsia="Tahoma"/>
                <w:b/>
              </w:rPr>
            </w:pPr>
            <w:r w:rsidRPr="00430C79">
              <w:rPr>
                <w:rFonts w:eastAsia="Tahoma"/>
                <w:b/>
                <w:lang w:val="en-US"/>
              </w:rPr>
              <w:t>Reason for cost and description of services</w:t>
            </w:r>
          </w:p>
        </w:tc>
      </w:tr>
      <w:tr w:rsidR="00CE27ED" w:rsidRPr="00430C79" w14:paraId="5F71643B" w14:textId="77777777" w:rsidTr="00D1711F">
        <w:tc>
          <w:tcPr>
            <w:tcW w:w="1265" w:type="pct"/>
          </w:tcPr>
          <w:p w14:paraId="2F964CD0" w14:textId="77777777" w:rsidR="00805F97" w:rsidRPr="00430C79" w:rsidRDefault="00805F97" w:rsidP="004C3E18">
            <w:pPr>
              <w:spacing w:before="120" w:after="120" w:line="240" w:lineRule="auto"/>
              <w:rPr>
                <w:rFonts w:eastAsia="Tahoma"/>
              </w:rPr>
            </w:pPr>
            <w:r w:rsidRPr="00430C79">
              <w:rPr>
                <w:rFonts w:eastAsia="Tahoma"/>
                <w:lang w:val="en-US"/>
              </w:rPr>
              <w:t>Acquisition Fee</w:t>
            </w:r>
          </w:p>
        </w:tc>
        <w:tc>
          <w:tcPr>
            <w:tcW w:w="561" w:type="pct"/>
            <w:shd w:val="clear" w:color="auto" w:fill="auto"/>
          </w:tcPr>
          <w:p w14:paraId="340D817C" w14:textId="5A33F613" w:rsidR="00805F97" w:rsidRPr="00D1711F" w:rsidRDefault="00805F97">
            <w:pPr>
              <w:spacing w:before="120" w:after="120" w:line="240" w:lineRule="auto"/>
              <w:rPr>
                <w:rFonts w:eastAsia="Tahoma"/>
                <w:color w:val="211E1F"/>
              </w:rPr>
            </w:pPr>
            <w:r w:rsidRPr="00D1711F">
              <w:rPr>
                <w:rFonts w:eastAsia="Tahoma"/>
                <w:color w:val="211E1F"/>
                <w:lang w:val="en-US"/>
              </w:rPr>
              <w:t>$</w:t>
            </w:r>
            <w:r w:rsidR="0027774C" w:rsidRPr="00D1711F">
              <w:rPr>
                <w:rFonts w:eastAsia="Tahoma" w:cs="Arial"/>
                <w:color w:val="211E1F"/>
                <w:lang w:val="en-US"/>
              </w:rPr>
              <w:t>1,</w:t>
            </w:r>
            <w:r w:rsidR="000829BF">
              <w:rPr>
                <w:rFonts w:eastAsia="Tahoma" w:cs="Arial"/>
                <w:color w:val="211E1F"/>
                <w:lang w:val="en-US"/>
              </w:rPr>
              <w:t>390</w:t>
            </w:r>
            <w:r w:rsidR="0027774C" w:rsidRPr="00D1711F">
              <w:rPr>
                <w:rFonts w:eastAsia="Tahoma" w:cs="Arial"/>
                <w:color w:val="211E1F"/>
                <w:lang w:val="en-US"/>
              </w:rPr>
              <w:t>,000</w:t>
            </w:r>
          </w:p>
        </w:tc>
        <w:tc>
          <w:tcPr>
            <w:tcW w:w="1070" w:type="pct"/>
          </w:tcPr>
          <w:p w14:paraId="052D3530"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325E1C53" w14:textId="478A95DB" w:rsidR="00805F97" w:rsidRPr="00430C79" w:rsidRDefault="00805F97" w:rsidP="005311BD">
            <w:pPr>
              <w:spacing w:before="120" w:after="120" w:line="240" w:lineRule="auto"/>
              <w:rPr>
                <w:rFonts w:eastAsia="Tahoma"/>
                <w:color w:val="211E1F"/>
              </w:rPr>
            </w:pPr>
            <w:r w:rsidRPr="00430C79">
              <w:rPr>
                <w:rFonts w:eastAsia="Tahoma"/>
                <w:color w:val="211E1F"/>
                <w:lang w:val="en-US"/>
              </w:rPr>
              <w:t>The fee payable to Oyster for negotiating the contract</w:t>
            </w:r>
            <w:r w:rsidR="00863F7B">
              <w:rPr>
                <w:rFonts w:eastAsia="Tahoma"/>
                <w:color w:val="211E1F"/>
                <w:lang w:val="en-US"/>
              </w:rPr>
              <w:t>s</w:t>
            </w:r>
            <w:r w:rsidRPr="00430C79">
              <w:rPr>
                <w:rFonts w:eastAsia="Tahoma"/>
                <w:color w:val="211E1F"/>
                <w:lang w:val="en-US"/>
              </w:rPr>
              <w:t xml:space="preserve"> to purchase </w:t>
            </w:r>
            <w:r w:rsidR="00863F7B">
              <w:rPr>
                <w:rFonts w:eastAsia="Tahoma"/>
                <w:color w:val="211E1F"/>
                <w:lang w:val="en-US"/>
              </w:rPr>
              <w:t xml:space="preserve">Home Straight </w:t>
            </w:r>
            <w:r w:rsidR="00FA03A5">
              <w:rPr>
                <w:rFonts w:eastAsia="Tahoma"/>
                <w:color w:val="211E1F"/>
                <w:lang w:val="en-US"/>
              </w:rPr>
              <w:t>Park</w:t>
            </w:r>
            <w:r w:rsidR="00FA03A5" w:rsidRPr="005311BD">
              <w:rPr>
                <w:rFonts w:eastAsia="Tahoma"/>
                <w:color w:val="211E1F"/>
                <w:lang w:val="en-US"/>
              </w:rPr>
              <w:t xml:space="preserve"> and</w:t>
            </w:r>
            <w:r w:rsidRPr="00430C79">
              <w:rPr>
                <w:rFonts w:eastAsia="Tahoma"/>
                <w:color w:val="211E1F"/>
                <w:lang w:val="en-US"/>
              </w:rPr>
              <w:t xml:space="preserve"> developing this investment opportunity and establishing the Scheme.</w:t>
            </w:r>
          </w:p>
        </w:tc>
      </w:tr>
      <w:tr w:rsidR="00CE27ED" w:rsidRPr="00430C79" w14:paraId="3607A846" w14:textId="77777777" w:rsidTr="00D1711F">
        <w:tc>
          <w:tcPr>
            <w:tcW w:w="1265" w:type="pct"/>
          </w:tcPr>
          <w:p w14:paraId="1C1F2199" w14:textId="77777777" w:rsidR="00805F97" w:rsidRPr="00430C79" w:rsidRDefault="001E5943" w:rsidP="004C3E18">
            <w:pPr>
              <w:spacing w:before="120" w:after="120" w:line="240" w:lineRule="auto"/>
              <w:rPr>
                <w:rFonts w:eastAsia="Tahoma"/>
                <w:color w:val="211E1F"/>
              </w:rPr>
            </w:pPr>
            <w:r>
              <w:rPr>
                <w:rFonts w:eastAsia="Tahoma"/>
                <w:color w:val="211E1F"/>
                <w:lang w:val="en-US"/>
              </w:rPr>
              <w:t xml:space="preserve">Oyster </w:t>
            </w:r>
            <w:r w:rsidR="00805F97" w:rsidRPr="00430C79">
              <w:rPr>
                <w:rFonts w:eastAsia="Tahoma"/>
                <w:color w:val="211E1F"/>
                <w:lang w:val="en-US"/>
              </w:rPr>
              <w:t>Underwrite Fee</w:t>
            </w:r>
          </w:p>
        </w:tc>
        <w:tc>
          <w:tcPr>
            <w:tcW w:w="561" w:type="pct"/>
            <w:shd w:val="clear" w:color="auto" w:fill="auto"/>
          </w:tcPr>
          <w:p w14:paraId="7158AF37" w14:textId="3AD06D6F" w:rsidR="00805F97" w:rsidRPr="00D1711F" w:rsidRDefault="00805F97" w:rsidP="004C3E18">
            <w:pPr>
              <w:spacing w:before="120" w:after="120" w:line="240" w:lineRule="auto"/>
              <w:rPr>
                <w:rFonts w:eastAsia="Tahoma"/>
              </w:rPr>
            </w:pPr>
            <w:r w:rsidRPr="00D1711F">
              <w:rPr>
                <w:rFonts w:eastAsia="Tahoma"/>
                <w:lang w:val="en-US"/>
              </w:rPr>
              <w:t>$</w:t>
            </w:r>
            <w:r w:rsidR="00BD5E76">
              <w:rPr>
                <w:rFonts w:eastAsia="Tahoma" w:cs="Arial"/>
                <w:color w:val="211E1F"/>
                <w:lang w:val="en-US"/>
              </w:rPr>
              <w:t>100,500</w:t>
            </w:r>
          </w:p>
        </w:tc>
        <w:tc>
          <w:tcPr>
            <w:tcW w:w="1070" w:type="pct"/>
          </w:tcPr>
          <w:p w14:paraId="7246B981"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1E4772B1" w14:textId="77777777" w:rsidR="00805F97" w:rsidRPr="00430C79" w:rsidRDefault="00805F97" w:rsidP="00BB57DE">
            <w:pPr>
              <w:spacing w:before="120" w:after="120" w:line="240" w:lineRule="auto"/>
              <w:rPr>
                <w:rFonts w:eastAsia="Tahoma"/>
                <w:color w:val="211E1F"/>
              </w:rPr>
            </w:pPr>
            <w:r w:rsidRPr="00430C79">
              <w:rPr>
                <w:rFonts w:eastAsia="Tahoma"/>
                <w:color w:val="211E1F"/>
                <w:lang w:val="en-US"/>
              </w:rPr>
              <w:t xml:space="preserve">The fee payable to Oyster for </w:t>
            </w:r>
            <w:r w:rsidR="00BB57DE">
              <w:rPr>
                <w:rFonts w:eastAsia="Tahoma"/>
                <w:color w:val="211E1F"/>
                <w:lang w:val="en-US"/>
              </w:rPr>
              <w:t>underwriting</w:t>
            </w:r>
            <w:r w:rsidRPr="00430C79">
              <w:rPr>
                <w:rFonts w:eastAsia="Tahoma"/>
                <w:color w:val="211E1F"/>
                <w:lang w:val="en-US"/>
              </w:rPr>
              <w:t xml:space="preserve"> the Offer.</w:t>
            </w:r>
          </w:p>
        </w:tc>
      </w:tr>
      <w:tr w:rsidR="001E5943" w:rsidRPr="00430C79" w14:paraId="4EEE66B2" w14:textId="77777777" w:rsidTr="00D1711F">
        <w:tc>
          <w:tcPr>
            <w:tcW w:w="1265" w:type="pct"/>
          </w:tcPr>
          <w:p w14:paraId="5ECF5334" w14:textId="77777777" w:rsidR="001E5943" w:rsidRDefault="001E5943" w:rsidP="004C3E18">
            <w:pPr>
              <w:spacing w:before="120" w:after="120" w:line="240" w:lineRule="auto"/>
              <w:rPr>
                <w:rFonts w:eastAsia="Tahoma"/>
                <w:color w:val="211E1F"/>
                <w:lang w:val="en-US"/>
              </w:rPr>
            </w:pPr>
            <w:r>
              <w:rPr>
                <w:rFonts w:eastAsia="Tahoma"/>
                <w:color w:val="211E1F"/>
                <w:lang w:val="en-US"/>
              </w:rPr>
              <w:t>Wyborn Underwrite Fee</w:t>
            </w:r>
          </w:p>
        </w:tc>
        <w:tc>
          <w:tcPr>
            <w:tcW w:w="561" w:type="pct"/>
            <w:shd w:val="clear" w:color="auto" w:fill="auto"/>
          </w:tcPr>
          <w:p w14:paraId="52B7E08F" w14:textId="38D4B53C" w:rsidR="001E5943" w:rsidRPr="00D1711F" w:rsidRDefault="001E5943" w:rsidP="004C3E18">
            <w:pPr>
              <w:spacing w:before="120" w:after="120" w:line="240" w:lineRule="auto"/>
              <w:rPr>
                <w:rFonts w:eastAsia="Tahoma"/>
                <w:lang w:val="en-US"/>
              </w:rPr>
            </w:pPr>
            <w:r w:rsidRPr="00D1711F">
              <w:rPr>
                <w:rFonts w:eastAsia="Tahoma"/>
                <w:lang w:val="en-US"/>
              </w:rPr>
              <w:t>$</w:t>
            </w:r>
            <w:r w:rsidR="00857511">
              <w:rPr>
                <w:rFonts w:eastAsia="Tahoma"/>
                <w:lang w:val="en-US"/>
              </w:rPr>
              <w:t>183,000</w:t>
            </w:r>
          </w:p>
        </w:tc>
        <w:tc>
          <w:tcPr>
            <w:tcW w:w="1070" w:type="pct"/>
          </w:tcPr>
          <w:p w14:paraId="732EB2A6" w14:textId="77777777" w:rsidR="001E5943" w:rsidRPr="00430C79" w:rsidRDefault="001E5943" w:rsidP="004C3E18">
            <w:pPr>
              <w:spacing w:before="120" w:after="120" w:line="240" w:lineRule="auto"/>
              <w:rPr>
                <w:rFonts w:eastAsia="Tahoma"/>
                <w:lang w:val="en-US"/>
              </w:rPr>
            </w:pPr>
            <w:r w:rsidRPr="001E5943">
              <w:rPr>
                <w:rFonts w:eastAsia="Tahoma"/>
              </w:rPr>
              <w:t>Wyborn Capital Properties Limited</w:t>
            </w:r>
          </w:p>
        </w:tc>
        <w:tc>
          <w:tcPr>
            <w:tcW w:w="2104" w:type="pct"/>
          </w:tcPr>
          <w:p w14:paraId="61888F4D" w14:textId="77777777" w:rsidR="001E5943" w:rsidRPr="00430C79" w:rsidRDefault="00BB57DE" w:rsidP="004C3E18">
            <w:pPr>
              <w:spacing w:before="120" w:after="120" w:line="240" w:lineRule="auto"/>
              <w:rPr>
                <w:rFonts w:eastAsia="Tahoma"/>
                <w:color w:val="211E1F"/>
                <w:lang w:val="en-US"/>
              </w:rPr>
            </w:pPr>
            <w:r>
              <w:rPr>
                <w:rFonts w:eastAsia="Tahoma"/>
                <w:color w:val="211E1F"/>
                <w:lang w:val="en-US"/>
              </w:rPr>
              <w:t>The fee payable to Wyborn Capital Properties Limited for underwriting the Offer.</w:t>
            </w:r>
          </w:p>
        </w:tc>
      </w:tr>
      <w:tr w:rsidR="00CE27ED" w:rsidRPr="00430C79" w14:paraId="3DD27BBC" w14:textId="77777777" w:rsidTr="00D1711F">
        <w:tc>
          <w:tcPr>
            <w:tcW w:w="1265" w:type="pct"/>
          </w:tcPr>
          <w:p w14:paraId="2AE69FD2"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Brokerage Fee</w:t>
            </w:r>
          </w:p>
        </w:tc>
        <w:tc>
          <w:tcPr>
            <w:tcW w:w="561" w:type="pct"/>
            <w:shd w:val="clear" w:color="auto" w:fill="auto"/>
          </w:tcPr>
          <w:p w14:paraId="6C8DF701" w14:textId="466ADA62" w:rsidR="00805F97" w:rsidRPr="00D1711F" w:rsidRDefault="00805F97" w:rsidP="004C3E18">
            <w:pPr>
              <w:spacing w:before="120" w:after="120" w:line="240" w:lineRule="auto"/>
              <w:rPr>
                <w:rFonts w:eastAsia="Tahoma"/>
              </w:rPr>
            </w:pPr>
            <w:r w:rsidRPr="00D1711F">
              <w:rPr>
                <w:rFonts w:eastAsia="Tahoma"/>
                <w:lang w:val="en-US"/>
              </w:rPr>
              <w:t>$</w:t>
            </w:r>
            <w:r w:rsidR="005F408F">
              <w:rPr>
                <w:rFonts w:eastAsia="Tahoma" w:cs="Arial"/>
                <w:color w:val="211E1F"/>
                <w:lang w:val="en-US"/>
              </w:rPr>
              <w:t>789,000</w:t>
            </w:r>
          </w:p>
        </w:tc>
        <w:tc>
          <w:tcPr>
            <w:tcW w:w="1070" w:type="pct"/>
          </w:tcPr>
          <w:p w14:paraId="1D49D8A7"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350938BD" w14:textId="18B7B687" w:rsidR="00805F97" w:rsidRPr="00430C79" w:rsidRDefault="00805F97" w:rsidP="004C3E18">
            <w:pPr>
              <w:spacing w:before="120" w:after="120" w:line="240" w:lineRule="auto"/>
              <w:rPr>
                <w:rFonts w:eastAsia="Tahoma"/>
                <w:color w:val="211E1F"/>
              </w:rPr>
            </w:pPr>
            <w:r w:rsidRPr="00430C79">
              <w:rPr>
                <w:rFonts w:eastAsia="Tahoma"/>
                <w:color w:val="211E1F"/>
                <w:lang w:val="en-US"/>
              </w:rPr>
              <w:t xml:space="preserve">Fee payable to Oyster for arranging the sale of the Interests including any Interests subscribed for by Oyster </w:t>
            </w:r>
            <w:r w:rsidR="00F82382">
              <w:rPr>
                <w:rFonts w:eastAsia="Tahoma"/>
                <w:color w:val="211E1F"/>
                <w:lang w:val="en-US"/>
              </w:rPr>
              <w:t>or W</w:t>
            </w:r>
            <w:r w:rsidR="00195562">
              <w:rPr>
                <w:rFonts w:eastAsia="Tahoma"/>
                <w:color w:val="211E1F"/>
                <w:lang w:val="en-US"/>
              </w:rPr>
              <w:t xml:space="preserve">yborn </w:t>
            </w:r>
            <w:r w:rsidRPr="00430C79">
              <w:rPr>
                <w:rFonts w:eastAsia="Tahoma"/>
                <w:color w:val="211E1F"/>
                <w:lang w:val="en-US"/>
              </w:rPr>
              <w:t>under the Underwrite</w:t>
            </w:r>
            <w:r w:rsidR="00195562">
              <w:rPr>
                <w:rFonts w:eastAsia="Tahoma"/>
                <w:color w:val="211E1F"/>
                <w:lang w:val="en-US"/>
              </w:rPr>
              <w:t>s</w:t>
            </w:r>
            <w:r w:rsidR="00C704EC" w:rsidRPr="00430C79">
              <w:rPr>
                <w:rFonts w:eastAsia="Tahoma"/>
                <w:color w:val="211E1F"/>
                <w:lang w:val="en-US"/>
              </w:rPr>
              <w:t xml:space="preserve">.  </w:t>
            </w:r>
            <w:r w:rsidRPr="00430C79">
              <w:rPr>
                <w:rFonts w:eastAsia="Tahoma"/>
                <w:color w:val="211E1F"/>
                <w:lang w:val="en-US"/>
              </w:rPr>
              <w:t xml:space="preserve">From the brokerage fee, Oyster will pay any commissions payable to </w:t>
            </w:r>
            <w:r w:rsidR="0075429F" w:rsidRPr="005311BD">
              <w:rPr>
                <w:rFonts w:eastAsia="Tahoma" w:cs="Arial"/>
                <w:color w:val="211E1F"/>
                <w:lang w:val="en-US"/>
              </w:rPr>
              <w:t>Colliers</w:t>
            </w:r>
            <w:r w:rsidRPr="00430C79">
              <w:rPr>
                <w:rFonts w:eastAsia="Tahoma"/>
                <w:color w:val="211E1F"/>
                <w:lang w:val="en-US"/>
              </w:rPr>
              <w:t xml:space="preserve"> for arranging the sale of Interests</w:t>
            </w:r>
            <w:r w:rsidR="00C704EC" w:rsidRPr="00430C79">
              <w:rPr>
                <w:rFonts w:eastAsia="Tahoma"/>
                <w:color w:val="211E1F"/>
                <w:lang w:val="en-US"/>
              </w:rPr>
              <w:t xml:space="preserve">.  </w:t>
            </w:r>
          </w:p>
        </w:tc>
      </w:tr>
      <w:tr w:rsidR="00CE27ED" w:rsidRPr="00430C79" w14:paraId="2AD20B74" w14:textId="77777777" w:rsidTr="00D1711F">
        <w:tc>
          <w:tcPr>
            <w:tcW w:w="1265" w:type="pct"/>
          </w:tcPr>
          <w:p w14:paraId="4EE1A34D"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Deposit Fee</w:t>
            </w:r>
          </w:p>
        </w:tc>
        <w:tc>
          <w:tcPr>
            <w:tcW w:w="561" w:type="pct"/>
            <w:shd w:val="clear" w:color="auto" w:fill="auto"/>
          </w:tcPr>
          <w:p w14:paraId="4142B02B" w14:textId="030DFAF1" w:rsidR="00805F97" w:rsidRPr="00D1711F" w:rsidRDefault="00805F97" w:rsidP="004C3E18">
            <w:pPr>
              <w:spacing w:before="120" w:after="120" w:line="240" w:lineRule="auto"/>
              <w:rPr>
                <w:rFonts w:eastAsia="Tahoma"/>
              </w:rPr>
            </w:pPr>
            <w:r w:rsidRPr="00D1711F">
              <w:rPr>
                <w:rFonts w:eastAsia="Tahoma"/>
                <w:lang w:val="en-US"/>
              </w:rPr>
              <w:t>$</w:t>
            </w:r>
            <w:r w:rsidR="00195562">
              <w:rPr>
                <w:rFonts w:eastAsia="Tahoma" w:cs="Arial"/>
                <w:color w:val="211E1F"/>
                <w:lang w:val="en-US"/>
              </w:rPr>
              <w:t>37,500</w:t>
            </w:r>
          </w:p>
        </w:tc>
        <w:tc>
          <w:tcPr>
            <w:tcW w:w="1070" w:type="pct"/>
          </w:tcPr>
          <w:p w14:paraId="366D2A61"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14FF8D07" w14:textId="77777777" w:rsidR="00805F97" w:rsidRPr="00430C79" w:rsidRDefault="00805F97" w:rsidP="005311BD">
            <w:pPr>
              <w:spacing w:before="120" w:after="120" w:line="240" w:lineRule="auto"/>
              <w:rPr>
                <w:rFonts w:eastAsia="Tahoma"/>
                <w:color w:val="211E1F"/>
              </w:rPr>
            </w:pPr>
            <w:r w:rsidRPr="00430C79">
              <w:rPr>
                <w:rFonts w:eastAsia="Tahoma"/>
                <w:color w:val="211E1F"/>
                <w:lang w:val="en-US"/>
              </w:rPr>
              <w:t>The fee charged by Oyster as consideration for Oyster paying the deposit of $</w:t>
            </w:r>
            <w:r w:rsidR="0075429F" w:rsidRPr="005311BD">
              <w:rPr>
                <w:rFonts w:eastAsia="Tahoma" w:cs="Arial"/>
                <w:color w:val="211E1F"/>
                <w:lang w:val="en-US"/>
              </w:rPr>
              <w:t>1,500,000</w:t>
            </w:r>
            <w:r w:rsidRPr="00430C79">
              <w:rPr>
                <w:rFonts w:eastAsia="Tahoma"/>
                <w:color w:val="211E1F"/>
                <w:lang w:val="en-US"/>
              </w:rPr>
              <w:t xml:space="preserve"> on behalf of the Scheme</w:t>
            </w:r>
            <w:r w:rsidR="00C704EC" w:rsidRPr="00430C79">
              <w:rPr>
                <w:rFonts w:eastAsia="Tahoma"/>
                <w:color w:val="211E1F"/>
                <w:lang w:val="en-US"/>
              </w:rPr>
              <w:t xml:space="preserve">.  </w:t>
            </w:r>
            <w:r w:rsidRPr="00430C79">
              <w:rPr>
                <w:rFonts w:eastAsia="Tahoma"/>
                <w:color w:val="211E1F"/>
                <w:lang w:val="en-US"/>
              </w:rPr>
              <w:t>On the Settlement Date, the Scheme will pay Oyster the deposit fee and will also reimburse Oyster for the deposit funds paid.</w:t>
            </w:r>
          </w:p>
        </w:tc>
      </w:tr>
      <w:tr w:rsidR="00CE27ED" w:rsidRPr="00430C79" w14:paraId="4D49759E" w14:textId="77777777" w:rsidTr="00D1711F">
        <w:tc>
          <w:tcPr>
            <w:tcW w:w="1265" w:type="pct"/>
          </w:tcPr>
          <w:p w14:paraId="570E26AC"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Legal Setup Costs – Oyster charge</w:t>
            </w:r>
          </w:p>
        </w:tc>
        <w:tc>
          <w:tcPr>
            <w:tcW w:w="561" w:type="pct"/>
            <w:shd w:val="clear" w:color="auto" w:fill="auto"/>
          </w:tcPr>
          <w:p w14:paraId="54EE83E7" w14:textId="2C9CD50C" w:rsidR="00805F97" w:rsidRPr="00D1711F" w:rsidRDefault="00805F97" w:rsidP="004C3E18">
            <w:pPr>
              <w:spacing w:before="120" w:after="120" w:line="240" w:lineRule="auto"/>
              <w:rPr>
                <w:rFonts w:eastAsia="Tahoma"/>
              </w:rPr>
            </w:pPr>
            <w:r w:rsidRPr="00D1711F">
              <w:rPr>
                <w:rFonts w:eastAsia="Tahoma"/>
                <w:lang w:val="en-US"/>
              </w:rPr>
              <w:t>$</w:t>
            </w:r>
            <w:r w:rsidR="006971C8" w:rsidRPr="00D1711F">
              <w:rPr>
                <w:rFonts w:eastAsia="Tahoma" w:cs="Arial"/>
                <w:color w:val="211E1F"/>
                <w:lang w:val="en-US"/>
              </w:rPr>
              <w:t>15,000</w:t>
            </w:r>
          </w:p>
        </w:tc>
        <w:tc>
          <w:tcPr>
            <w:tcW w:w="1070" w:type="pct"/>
          </w:tcPr>
          <w:p w14:paraId="5D471294"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0AA0938E"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Charge paid to Oyster which reflects the time spent by its internal legal team on this Offer.</w:t>
            </w:r>
          </w:p>
        </w:tc>
      </w:tr>
      <w:tr w:rsidR="00CE27ED" w:rsidRPr="00430C79" w14:paraId="5571B466" w14:textId="77777777" w:rsidTr="00D1711F">
        <w:tc>
          <w:tcPr>
            <w:tcW w:w="1265" w:type="pct"/>
          </w:tcPr>
          <w:p w14:paraId="16320FBC"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Accountancy - internal</w:t>
            </w:r>
          </w:p>
        </w:tc>
        <w:tc>
          <w:tcPr>
            <w:tcW w:w="561" w:type="pct"/>
            <w:shd w:val="clear" w:color="auto" w:fill="auto"/>
          </w:tcPr>
          <w:p w14:paraId="199250E7" w14:textId="64722E02" w:rsidR="00805F97" w:rsidRPr="00D1711F" w:rsidRDefault="00805F97" w:rsidP="004C3E18">
            <w:pPr>
              <w:spacing w:before="120" w:after="120" w:line="240" w:lineRule="auto"/>
              <w:rPr>
                <w:rFonts w:eastAsia="Tahoma"/>
                <w:color w:val="211E1F"/>
              </w:rPr>
            </w:pPr>
            <w:r w:rsidRPr="00D1711F">
              <w:rPr>
                <w:rFonts w:eastAsia="Tahoma"/>
                <w:color w:val="211E1F"/>
                <w:lang w:val="en-US"/>
              </w:rPr>
              <w:t>$</w:t>
            </w:r>
            <w:r w:rsidR="006971C8" w:rsidRPr="00D1711F">
              <w:rPr>
                <w:rFonts w:eastAsia="Tahoma" w:cs="Arial"/>
                <w:color w:val="211E1F"/>
                <w:lang w:val="en-US"/>
              </w:rPr>
              <w:t>1</w:t>
            </w:r>
            <w:r w:rsidR="000E6D62">
              <w:rPr>
                <w:rFonts w:eastAsia="Tahoma" w:cs="Arial"/>
                <w:color w:val="211E1F"/>
                <w:lang w:val="en-US"/>
              </w:rPr>
              <w:t>5</w:t>
            </w:r>
            <w:r w:rsidR="006971C8" w:rsidRPr="00D1711F">
              <w:rPr>
                <w:rFonts w:eastAsia="Tahoma" w:cs="Arial"/>
                <w:color w:val="211E1F"/>
                <w:lang w:val="en-US"/>
              </w:rPr>
              <w:t>,000</w:t>
            </w:r>
          </w:p>
        </w:tc>
        <w:tc>
          <w:tcPr>
            <w:tcW w:w="1070" w:type="pct"/>
          </w:tcPr>
          <w:p w14:paraId="1D366AD6" w14:textId="77777777" w:rsidR="00805F97" w:rsidRPr="00430C79" w:rsidRDefault="00805F97" w:rsidP="004C3E18">
            <w:pPr>
              <w:spacing w:before="120" w:after="120" w:line="240" w:lineRule="auto"/>
              <w:rPr>
                <w:rFonts w:eastAsia="Tahoma"/>
              </w:rPr>
            </w:pPr>
            <w:r w:rsidRPr="00430C79">
              <w:rPr>
                <w:rFonts w:eastAsia="Tahoma"/>
                <w:lang w:val="en-US"/>
              </w:rPr>
              <w:t>Oyster Management Limited</w:t>
            </w:r>
          </w:p>
        </w:tc>
        <w:tc>
          <w:tcPr>
            <w:tcW w:w="2104" w:type="pct"/>
          </w:tcPr>
          <w:p w14:paraId="4BAD6111"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Charge paid to Oyster which reflects the time spent by its internal accountancy team on this Offer.</w:t>
            </w:r>
          </w:p>
        </w:tc>
      </w:tr>
      <w:tr w:rsidR="00CE27ED" w:rsidRPr="00430C79" w14:paraId="58AB7200" w14:textId="77777777" w:rsidTr="00D1711F">
        <w:tc>
          <w:tcPr>
            <w:tcW w:w="1265" w:type="pct"/>
          </w:tcPr>
          <w:p w14:paraId="06228420"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Marketing</w:t>
            </w:r>
          </w:p>
        </w:tc>
        <w:tc>
          <w:tcPr>
            <w:tcW w:w="561" w:type="pct"/>
            <w:shd w:val="clear" w:color="auto" w:fill="auto"/>
          </w:tcPr>
          <w:p w14:paraId="753375A5" w14:textId="04997621" w:rsidR="00805F97" w:rsidRPr="00D1711F" w:rsidRDefault="00805F97" w:rsidP="005311BD">
            <w:pPr>
              <w:spacing w:before="120" w:after="120" w:line="240" w:lineRule="auto"/>
              <w:rPr>
                <w:rFonts w:eastAsia="Tahoma"/>
              </w:rPr>
            </w:pPr>
            <w:r w:rsidRPr="00D1711F">
              <w:rPr>
                <w:rFonts w:eastAsia="Tahoma"/>
                <w:lang w:val="en-US"/>
              </w:rPr>
              <w:t>$</w:t>
            </w:r>
            <w:r w:rsidR="006476D2">
              <w:rPr>
                <w:rFonts w:eastAsia="Tahoma"/>
                <w:lang w:val="en-US"/>
              </w:rPr>
              <w:t>1</w:t>
            </w:r>
            <w:r w:rsidR="006971C8" w:rsidRPr="00D1711F">
              <w:rPr>
                <w:rFonts w:eastAsia="Tahoma"/>
                <w:color w:val="211E1F"/>
                <w:lang w:val="en-US"/>
              </w:rPr>
              <w:t>50,000</w:t>
            </w:r>
          </w:p>
        </w:tc>
        <w:tc>
          <w:tcPr>
            <w:tcW w:w="1070" w:type="pct"/>
          </w:tcPr>
          <w:p w14:paraId="523539B8" w14:textId="77777777" w:rsidR="00805F97" w:rsidRPr="00430C79" w:rsidRDefault="00805F97" w:rsidP="004C3E18">
            <w:pPr>
              <w:spacing w:before="120" w:after="120" w:line="240" w:lineRule="auto"/>
              <w:rPr>
                <w:rFonts w:eastAsia="Tahoma"/>
              </w:rPr>
            </w:pPr>
          </w:p>
        </w:tc>
        <w:tc>
          <w:tcPr>
            <w:tcW w:w="2104" w:type="pct"/>
          </w:tcPr>
          <w:p w14:paraId="5EF42E92"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t>These are the costs for printing and design of this PDS, producing advertising material and advertising expenses.</w:t>
            </w:r>
          </w:p>
        </w:tc>
      </w:tr>
      <w:tr w:rsidR="00CE27ED" w:rsidRPr="00430C79" w14:paraId="674100B5" w14:textId="77777777" w:rsidTr="00D1711F">
        <w:tc>
          <w:tcPr>
            <w:tcW w:w="1265" w:type="pct"/>
          </w:tcPr>
          <w:p w14:paraId="44415778" w14:textId="77777777" w:rsidR="00805F97" w:rsidRPr="00430C79" w:rsidRDefault="00805F97" w:rsidP="004C3E18">
            <w:pPr>
              <w:spacing w:before="120" w:after="120" w:line="240" w:lineRule="auto"/>
              <w:rPr>
                <w:rFonts w:eastAsia="Tahoma"/>
                <w:color w:val="211E1F"/>
              </w:rPr>
            </w:pPr>
            <w:r w:rsidRPr="00430C79">
              <w:rPr>
                <w:rFonts w:eastAsia="Tahoma"/>
                <w:color w:val="211E1F"/>
                <w:lang w:val="en-US"/>
              </w:rPr>
              <w:lastRenderedPageBreak/>
              <w:t>Legal Setup Costs - external</w:t>
            </w:r>
          </w:p>
        </w:tc>
        <w:tc>
          <w:tcPr>
            <w:tcW w:w="561" w:type="pct"/>
            <w:shd w:val="clear" w:color="auto" w:fill="auto"/>
          </w:tcPr>
          <w:p w14:paraId="19C57EE6" w14:textId="6F14E50B" w:rsidR="00805F97" w:rsidRPr="00D1711F" w:rsidRDefault="00805F97" w:rsidP="004C3E18">
            <w:pPr>
              <w:spacing w:before="120" w:after="120" w:line="240" w:lineRule="auto"/>
              <w:rPr>
                <w:rFonts w:eastAsia="Tahoma"/>
              </w:rPr>
            </w:pPr>
            <w:r w:rsidRPr="00D1711F">
              <w:rPr>
                <w:rFonts w:eastAsia="Tahoma"/>
                <w:lang w:val="en-US"/>
              </w:rPr>
              <w:t>$</w:t>
            </w:r>
            <w:r w:rsidR="00B90542">
              <w:rPr>
                <w:rFonts w:eastAsia="Tahoma" w:cs="Arial"/>
                <w:color w:val="211E1F"/>
                <w:lang w:val="en-US"/>
              </w:rPr>
              <w:t>352,735</w:t>
            </w:r>
          </w:p>
        </w:tc>
        <w:tc>
          <w:tcPr>
            <w:tcW w:w="1070" w:type="pct"/>
          </w:tcPr>
          <w:p w14:paraId="48A1EB09" w14:textId="77777777" w:rsidR="00805F97" w:rsidRPr="00430C79" w:rsidRDefault="00805F97">
            <w:pPr>
              <w:spacing w:before="120" w:after="120" w:line="240" w:lineRule="auto"/>
              <w:rPr>
                <w:rFonts w:eastAsia="Tahoma"/>
              </w:rPr>
            </w:pPr>
            <w:r w:rsidRPr="00430C79">
              <w:rPr>
                <w:rFonts w:eastAsia="Tahoma"/>
                <w:lang w:val="en-US"/>
              </w:rPr>
              <w:t xml:space="preserve">Russell McVeagh and </w:t>
            </w:r>
            <w:r w:rsidR="000A5704" w:rsidRPr="005311BD">
              <w:rPr>
                <w:rFonts w:eastAsia="Tahoma"/>
                <w:color w:val="211E1F"/>
                <w:lang w:val="en-US"/>
              </w:rPr>
              <w:t>Thompson Blackie Biddles</w:t>
            </w:r>
          </w:p>
        </w:tc>
        <w:tc>
          <w:tcPr>
            <w:tcW w:w="2104" w:type="pct"/>
          </w:tcPr>
          <w:p w14:paraId="06C29BEE" w14:textId="77777777" w:rsidR="00805F97" w:rsidRPr="00430C79" w:rsidRDefault="00805F97" w:rsidP="004C3E18">
            <w:pPr>
              <w:spacing w:before="120" w:after="120" w:line="240" w:lineRule="auto"/>
              <w:rPr>
                <w:rFonts w:eastAsia="Tahoma"/>
              </w:rPr>
            </w:pPr>
            <w:r w:rsidRPr="00430C79">
              <w:rPr>
                <w:rFonts w:eastAsia="Tahoma"/>
                <w:lang w:val="en-US"/>
              </w:rPr>
              <w:t>These costs include:</w:t>
            </w:r>
          </w:p>
          <w:p w14:paraId="72E49CE6" w14:textId="61257545" w:rsidR="00805F97" w:rsidRPr="00430C79" w:rsidRDefault="00805F97" w:rsidP="004C3E18">
            <w:pPr>
              <w:spacing w:before="120" w:after="120" w:line="240" w:lineRule="auto"/>
              <w:rPr>
                <w:rFonts w:eastAsia="Tahoma"/>
                <w:lang w:val="en-US"/>
              </w:rPr>
            </w:pPr>
            <w:r w:rsidRPr="00430C79">
              <w:rPr>
                <w:rFonts w:eastAsia="Tahoma"/>
                <w:lang w:val="en-US"/>
              </w:rPr>
              <w:t>The $</w:t>
            </w:r>
            <w:r w:rsidR="00BA51D5" w:rsidRPr="005311BD">
              <w:rPr>
                <w:rFonts w:eastAsia="Tahoma"/>
                <w:lang w:val="en-US"/>
              </w:rPr>
              <w:t>3</w:t>
            </w:r>
            <w:r w:rsidR="00B90542">
              <w:rPr>
                <w:rFonts w:eastAsia="Tahoma"/>
                <w:lang w:val="en-US"/>
              </w:rPr>
              <w:t>02,735</w:t>
            </w:r>
            <w:r w:rsidRPr="00430C79">
              <w:rPr>
                <w:rFonts w:eastAsia="Tahoma"/>
                <w:lang w:val="en-US"/>
              </w:rPr>
              <w:t xml:space="preserve"> fee paid to the Scheme’s solicitors Russell McVeagh for the costs of reviewing the Offer documents, due diligence </w:t>
            </w:r>
            <w:r w:rsidR="00B90542">
              <w:rPr>
                <w:rFonts w:eastAsia="Tahoma"/>
                <w:lang w:val="en-US"/>
              </w:rPr>
              <w:t>on Home Straight Park</w:t>
            </w:r>
            <w:r w:rsidRPr="005311BD">
              <w:rPr>
                <w:rFonts w:eastAsia="Tahoma"/>
                <w:lang w:val="en-US"/>
              </w:rPr>
              <w:t>,</w:t>
            </w:r>
            <w:r w:rsidRPr="00430C79">
              <w:rPr>
                <w:rFonts w:eastAsia="Tahoma"/>
                <w:lang w:val="en-US"/>
              </w:rPr>
              <w:t xml:space="preserve"> establishing the Scheme, settlement </w:t>
            </w:r>
            <w:r w:rsidRPr="005311BD">
              <w:rPr>
                <w:rFonts w:eastAsia="Tahoma"/>
                <w:lang w:val="en-US"/>
              </w:rPr>
              <w:t xml:space="preserve">of </w:t>
            </w:r>
            <w:r w:rsidR="00512874">
              <w:rPr>
                <w:rFonts w:eastAsia="Tahoma"/>
                <w:lang w:val="en-US"/>
              </w:rPr>
              <w:t>Home Straight Park</w:t>
            </w:r>
            <w:r w:rsidRPr="00430C79">
              <w:rPr>
                <w:rFonts w:eastAsia="Tahoma"/>
                <w:lang w:val="en-US"/>
              </w:rPr>
              <w:t xml:space="preserve"> and reviewing the Bank Loan documentation.</w:t>
            </w:r>
          </w:p>
          <w:p w14:paraId="47642089" w14:textId="30FD3DF9" w:rsidR="004C3E18" w:rsidRPr="00430C79" w:rsidRDefault="004C3E18" w:rsidP="004C3E18">
            <w:pPr>
              <w:spacing w:before="120" w:after="120" w:line="240" w:lineRule="auto"/>
              <w:rPr>
                <w:rFonts w:eastAsia="Tahoma"/>
              </w:rPr>
            </w:pPr>
            <w:r w:rsidRPr="00430C79">
              <w:rPr>
                <w:rFonts w:eastAsia="Tahoma" w:cs="Arial"/>
                <w:lang w:val="en-US"/>
              </w:rPr>
              <w:t>The $</w:t>
            </w:r>
            <w:r w:rsidR="004B2399">
              <w:rPr>
                <w:rFonts w:eastAsia="Tahoma" w:cs="Arial"/>
                <w:lang w:val="en-US"/>
              </w:rPr>
              <w:t>50,000</w:t>
            </w:r>
            <w:r w:rsidRPr="005311BD">
              <w:rPr>
                <w:rFonts w:eastAsia="Tahoma" w:cs="Arial"/>
                <w:lang w:val="en-US"/>
              </w:rPr>
              <w:t xml:space="preserve"> fee payable to </w:t>
            </w:r>
            <w:r w:rsidR="00281615" w:rsidRPr="005311BD">
              <w:rPr>
                <w:rFonts w:eastAsia="Tahoma"/>
                <w:color w:val="211E1F"/>
                <w:lang w:val="en-US"/>
              </w:rPr>
              <w:t>Thompson Blackie Biddles</w:t>
            </w:r>
            <w:r w:rsidRPr="00430C79">
              <w:rPr>
                <w:rFonts w:eastAsia="Tahoma" w:cs="Arial"/>
                <w:lang w:val="en-US"/>
              </w:rPr>
              <w:t xml:space="preserve"> for processing subscriptions and providing trust account service for receipt of subscription monies.</w:t>
            </w:r>
          </w:p>
        </w:tc>
      </w:tr>
      <w:tr w:rsidR="00CE27ED" w:rsidRPr="00430C79" w14:paraId="00F5DF8E" w14:textId="77777777" w:rsidTr="00D1711F">
        <w:tc>
          <w:tcPr>
            <w:tcW w:w="1265" w:type="pct"/>
          </w:tcPr>
          <w:p w14:paraId="43C510E5" w14:textId="77777777" w:rsidR="00CE27ED" w:rsidRPr="00430C79" w:rsidRDefault="00CE27ED" w:rsidP="004C3E18">
            <w:pPr>
              <w:spacing w:before="120" w:after="120" w:line="240" w:lineRule="auto"/>
              <w:rPr>
                <w:rFonts w:eastAsia="Tahoma" w:cs="Arial"/>
                <w:color w:val="211E1F"/>
              </w:rPr>
            </w:pPr>
            <w:r w:rsidRPr="00430C79">
              <w:rPr>
                <w:rFonts w:eastAsia="Tahoma" w:cs="Arial"/>
                <w:color w:val="211E1F"/>
                <w:lang w:val="en-US"/>
              </w:rPr>
              <w:t>Investigating Accountant</w:t>
            </w:r>
          </w:p>
        </w:tc>
        <w:tc>
          <w:tcPr>
            <w:tcW w:w="561" w:type="pct"/>
            <w:shd w:val="clear" w:color="auto" w:fill="auto"/>
          </w:tcPr>
          <w:p w14:paraId="7A2605AB" w14:textId="76DDF2E6" w:rsidR="00CE27ED" w:rsidRPr="00D1711F" w:rsidRDefault="00CE27ED" w:rsidP="004C3E18">
            <w:pPr>
              <w:spacing w:before="120" w:after="120" w:line="240" w:lineRule="auto"/>
              <w:rPr>
                <w:rFonts w:eastAsia="Tahoma" w:cs="Arial"/>
              </w:rPr>
            </w:pPr>
            <w:r w:rsidRPr="00D1711F">
              <w:rPr>
                <w:rFonts w:eastAsia="Tahoma" w:cs="Arial"/>
                <w:lang w:val="en-US"/>
              </w:rPr>
              <w:t>$</w:t>
            </w:r>
            <w:r w:rsidR="00BA51D5" w:rsidRPr="00D1711F">
              <w:rPr>
                <w:rFonts w:eastAsia="Tahoma" w:cs="Arial"/>
                <w:color w:val="211E1F"/>
                <w:lang w:val="en-US"/>
              </w:rPr>
              <w:t>45,000</w:t>
            </w:r>
          </w:p>
        </w:tc>
        <w:tc>
          <w:tcPr>
            <w:tcW w:w="1070" w:type="pct"/>
          </w:tcPr>
          <w:p w14:paraId="1FB46137" w14:textId="77777777" w:rsidR="00CE27ED" w:rsidRPr="00430C79" w:rsidRDefault="00CE5424" w:rsidP="004C3E18">
            <w:pPr>
              <w:spacing w:before="120" w:after="120" w:line="240" w:lineRule="auto"/>
              <w:rPr>
                <w:rFonts w:eastAsia="Tahoma" w:cs="Arial"/>
              </w:rPr>
            </w:pPr>
            <w:r w:rsidRPr="00A3239E">
              <w:rPr>
                <w:rFonts w:eastAsia="Tahoma"/>
                <w:color w:val="211E1F"/>
                <w:lang w:val="en-US"/>
              </w:rPr>
              <w:t>Ernst &amp; Young Transaction Advisory Services</w:t>
            </w:r>
            <w:r>
              <w:rPr>
                <w:rFonts w:eastAsia="Tahoma"/>
                <w:color w:val="211E1F"/>
                <w:lang w:val="en-US"/>
              </w:rPr>
              <w:t xml:space="preserve"> Limited</w:t>
            </w:r>
            <w:r w:rsidRPr="00DE5AE6" w:rsidDel="00CE5424">
              <w:rPr>
                <w:rFonts w:eastAsia="Tahoma"/>
                <w:b/>
                <w:color w:val="211E1F"/>
                <w:highlight w:val="yellow"/>
                <w:lang w:val="en-US"/>
              </w:rPr>
              <w:t xml:space="preserve"> </w:t>
            </w:r>
          </w:p>
        </w:tc>
        <w:tc>
          <w:tcPr>
            <w:tcW w:w="2104" w:type="pct"/>
          </w:tcPr>
          <w:p w14:paraId="66024AA1" w14:textId="25AB5717" w:rsidR="00CE27ED" w:rsidRPr="00430C79" w:rsidRDefault="00CE27ED" w:rsidP="004C3E18">
            <w:pPr>
              <w:spacing w:before="120" w:after="120" w:line="240" w:lineRule="auto"/>
              <w:rPr>
                <w:rFonts w:eastAsia="Tahoma" w:cs="Arial"/>
                <w:color w:val="211E1F"/>
              </w:rPr>
            </w:pPr>
            <w:r w:rsidRPr="00430C79">
              <w:rPr>
                <w:rFonts w:eastAsia="Tahoma" w:cs="Arial"/>
                <w:color w:val="211E1F"/>
                <w:lang w:val="en-US"/>
              </w:rPr>
              <w:t xml:space="preserve">The fee payable to </w:t>
            </w:r>
            <w:r w:rsidR="00281615" w:rsidRPr="005311BD">
              <w:rPr>
                <w:rFonts w:eastAsia="Tahoma"/>
                <w:color w:val="211E1F"/>
                <w:lang w:val="en-US"/>
              </w:rPr>
              <w:t>Ernst &amp; Young Transaction Advisory Services</w:t>
            </w:r>
            <w:r w:rsidR="004E63ED">
              <w:rPr>
                <w:rFonts w:eastAsia="Tahoma"/>
                <w:color w:val="211E1F"/>
                <w:lang w:val="en-US"/>
              </w:rPr>
              <w:t xml:space="preserve"> Limited</w:t>
            </w:r>
            <w:r w:rsidRPr="00430C79">
              <w:rPr>
                <w:rFonts w:eastAsia="Tahoma" w:cs="Arial"/>
                <w:color w:val="211E1F"/>
                <w:lang w:val="en-US"/>
              </w:rPr>
              <w:t xml:space="preserve"> for their Independent Limited Assurance Report</w:t>
            </w:r>
            <w:r w:rsidR="00512874">
              <w:rPr>
                <w:rFonts w:eastAsia="Tahoma" w:cs="Arial"/>
                <w:color w:val="211E1F"/>
                <w:lang w:val="en-US"/>
              </w:rPr>
              <w:t xml:space="preserve"> and</w:t>
            </w:r>
            <w:r w:rsidRPr="00430C79">
              <w:rPr>
                <w:rFonts w:eastAsia="Tahoma" w:cs="Arial"/>
                <w:color w:val="211E1F"/>
                <w:lang w:val="en-US"/>
              </w:rPr>
              <w:t xml:space="preserve"> financial diligence in relation to the Scheme’s prospective financial </w:t>
            </w:r>
            <w:r w:rsidR="00512874">
              <w:rPr>
                <w:rFonts w:eastAsia="Tahoma" w:cs="Arial"/>
                <w:color w:val="211E1F"/>
                <w:lang w:val="en-US"/>
              </w:rPr>
              <w:t>information</w:t>
            </w:r>
            <w:r w:rsidRPr="00430C79">
              <w:rPr>
                <w:rFonts w:eastAsia="Tahoma" w:cs="Arial"/>
                <w:color w:val="211E1F"/>
                <w:lang w:val="en-US"/>
              </w:rPr>
              <w:t>.</w:t>
            </w:r>
          </w:p>
        </w:tc>
      </w:tr>
      <w:tr w:rsidR="00CE27ED" w:rsidRPr="00430C79" w14:paraId="63678EE8" w14:textId="77777777" w:rsidTr="00D1711F">
        <w:tc>
          <w:tcPr>
            <w:tcW w:w="1265" w:type="pct"/>
          </w:tcPr>
          <w:p w14:paraId="738DEEA0" w14:textId="77777777" w:rsidR="00CE27ED" w:rsidRPr="00430C79" w:rsidRDefault="00CE27ED" w:rsidP="004C3E18">
            <w:pPr>
              <w:spacing w:before="120" w:after="120" w:line="240" w:lineRule="auto"/>
              <w:rPr>
                <w:rFonts w:eastAsia="Tahoma" w:cs="Arial"/>
                <w:color w:val="211E1F"/>
              </w:rPr>
            </w:pPr>
            <w:r w:rsidRPr="00430C79">
              <w:rPr>
                <w:rFonts w:eastAsia="Tahoma" w:cs="Arial"/>
                <w:color w:val="211E1F"/>
                <w:lang w:val="en-US"/>
              </w:rPr>
              <w:t>Seismic assessment</w:t>
            </w:r>
          </w:p>
        </w:tc>
        <w:tc>
          <w:tcPr>
            <w:tcW w:w="561" w:type="pct"/>
            <w:shd w:val="clear" w:color="auto" w:fill="auto"/>
          </w:tcPr>
          <w:p w14:paraId="27085821" w14:textId="6E61C2CC" w:rsidR="00CE27ED" w:rsidRPr="00D1711F" w:rsidRDefault="00CE27ED" w:rsidP="004C3E18">
            <w:pPr>
              <w:spacing w:before="120" w:after="120" w:line="240" w:lineRule="auto"/>
              <w:rPr>
                <w:rFonts w:eastAsia="Tahoma" w:cs="Arial"/>
              </w:rPr>
            </w:pPr>
            <w:r w:rsidRPr="00D1711F">
              <w:rPr>
                <w:rFonts w:eastAsia="Tahoma" w:cs="Arial"/>
                <w:lang w:val="en-US"/>
              </w:rPr>
              <w:t>$</w:t>
            </w:r>
            <w:r w:rsidR="00A8120E">
              <w:rPr>
                <w:rFonts w:eastAsia="Tahoma" w:cs="Arial"/>
                <w:lang w:val="en-US"/>
              </w:rPr>
              <w:t>2</w:t>
            </w:r>
            <w:r w:rsidR="00A8120E">
              <w:rPr>
                <w:rFonts w:eastAsia="Tahoma" w:cs="Arial"/>
                <w:color w:val="211E1F"/>
                <w:lang w:val="en-US"/>
              </w:rPr>
              <w:t>9,112</w:t>
            </w:r>
          </w:p>
        </w:tc>
        <w:tc>
          <w:tcPr>
            <w:tcW w:w="1070" w:type="pct"/>
          </w:tcPr>
          <w:p w14:paraId="0629AD81" w14:textId="35603203" w:rsidR="00CE27ED" w:rsidRPr="00430C79" w:rsidRDefault="005339F3" w:rsidP="004C3E18">
            <w:pPr>
              <w:spacing w:before="120" w:after="120" w:line="240" w:lineRule="auto"/>
              <w:rPr>
                <w:rFonts w:eastAsia="Tahoma" w:cs="Arial"/>
              </w:rPr>
            </w:pPr>
            <w:r w:rsidRPr="005311BD">
              <w:rPr>
                <w:rFonts w:eastAsia="Tahoma"/>
                <w:color w:val="211E1F"/>
                <w:lang w:val="en-US"/>
              </w:rPr>
              <w:t>Harrison Grierson</w:t>
            </w:r>
            <w:r w:rsidR="00512874">
              <w:rPr>
                <w:rFonts w:eastAsia="Tahoma"/>
                <w:color w:val="211E1F"/>
                <w:lang w:val="en-US"/>
              </w:rPr>
              <w:t>, Envelope Structural Limited and Grays Consulting</w:t>
            </w:r>
          </w:p>
        </w:tc>
        <w:tc>
          <w:tcPr>
            <w:tcW w:w="2104" w:type="pct"/>
          </w:tcPr>
          <w:p w14:paraId="07F1D43B" w14:textId="3517657F" w:rsidR="00CE27ED" w:rsidRPr="00430C79" w:rsidRDefault="00CE27ED" w:rsidP="005311BD">
            <w:pPr>
              <w:spacing w:before="120" w:after="120" w:line="240" w:lineRule="auto"/>
              <w:rPr>
                <w:rFonts w:eastAsia="Tahoma" w:cs="Arial"/>
              </w:rPr>
            </w:pPr>
            <w:r w:rsidRPr="00430C79">
              <w:rPr>
                <w:rFonts w:eastAsia="Tahoma" w:cs="Arial"/>
                <w:lang w:val="en-US"/>
              </w:rPr>
              <w:t>Th</w:t>
            </w:r>
            <w:r w:rsidR="00A8120E">
              <w:rPr>
                <w:rFonts w:eastAsia="Tahoma" w:cs="Arial"/>
                <w:lang w:val="en-US"/>
              </w:rPr>
              <w:t>is fee includes the</w:t>
            </w:r>
            <w:r w:rsidRPr="00430C79">
              <w:rPr>
                <w:rFonts w:eastAsia="Tahoma" w:cs="Arial"/>
                <w:lang w:val="en-US"/>
              </w:rPr>
              <w:t xml:space="preserve"> </w:t>
            </w:r>
            <w:r w:rsidR="00313013">
              <w:rPr>
                <w:rFonts w:eastAsia="Tahoma" w:cs="Arial"/>
                <w:lang w:val="en-US"/>
              </w:rPr>
              <w:t xml:space="preserve">$13,250 </w:t>
            </w:r>
            <w:r w:rsidR="00A8120E">
              <w:rPr>
                <w:rFonts w:eastAsia="Tahoma" w:cs="Arial"/>
                <w:lang w:val="en-US"/>
              </w:rPr>
              <w:t xml:space="preserve">paid to </w:t>
            </w:r>
            <w:r w:rsidR="00512874" w:rsidRPr="005311BD">
              <w:rPr>
                <w:rFonts w:eastAsia="Tahoma"/>
                <w:color w:val="211E1F"/>
                <w:lang w:val="en-US"/>
              </w:rPr>
              <w:t>Harrison Grierson</w:t>
            </w:r>
            <w:r w:rsidR="00512874">
              <w:rPr>
                <w:rFonts w:eastAsia="Tahoma"/>
                <w:color w:val="211E1F"/>
                <w:lang w:val="en-US"/>
              </w:rPr>
              <w:t xml:space="preserve">, </w:t>
            </w:r>
            <w:r w:rsidR="00313013">
              <w:rPr>
                <w:rFonts w:eastAsia="Tahoma"/>
                <w:color w:val="211E1F"/>
                <w:lang w:val="en-US"/>
              </w:rPr>
              <w:t xml:space="preserve">$5,862 </w:t>
            </w:r>
            <w:r w:rsidR="00A8120E">
              <w:rPr>
                <w:rFonts w:eastAsia="Tahoma"/>
                <w:color w:val="211E1F"/>
                <w:lang w:val="en-US"/>
              </w:rPr>
              <w:t xml:space="preserve">paid to </w:t>
            </w:r>
            <w:r w:rsidR="00512874">
              <w:rPr>
                <w:rFonts w:eastAsia="Tahoma"/>
                <w:color w:val="211E1F"/>
                <w:lang w:val="en-US"/>
              </w:rPr>
              <w:t xml:space="preserve">Envelope Structural Limited and </w:t>
            </w:r>
            <w:r w:rsidR="00313013">
              <w:rPr>
                <w:rFonts w:eastAsia="Tahoma"/>
                <w:color w:val="211E1F"/>
                <w:lang w:val="en-US"/>
              </w:rPr>
              <w:t xml:space="preserve">$10,000 </w:t>
            </w:r>
            <w:r w:rsidR="00A8120E">
              <w:rPr>
                <w:rFonts w:eastAsia="Tahoma"/>
                <w:color w:val="211E1F"/>
                <w:lang w:val="en-US"/>
              </w:rPr>
              <w:t xml:space="preserve">paid to </w:t>
            </w:r>
            <w:r w:rsidR="00512874">
              <w:rPr>
                <w:rFonts w:eastAsia="Tahoma"/>
                <w:color w:val="211E1F"/>
                <w:lang w:val="en-US"/>
              </w:rPr>
              <w:t>Grays Consulting</w:t>
            </w:r>
            <w:r w:rsidR="00512874" w:rsidRPr="00430C79">
              <w:rPr>
                <w:rFonts w:eastAsia="Tahoma" w:cs="Arial"/>
                <w:lang w:val="en-US"/>
              </w:rPr>
              <w:t xml:space="preserve"> </w:t>
            </w:r>
            <w:r w:rsidRPr="00430C79">
              <w:rPr>
                <w:rFonts w:eastAsia="Tahoma" w:cs="Arial"/>
                <w:lang w:val="en-US"/>
              </w:rPr>
              <w:t xml:space="preserve">for reviewing the seismic strength of </w:t>
            </w:r>
            <w:r w:rsidR="00512874">
              <w:rPr>
                <w:rFonts w:eastAsia="Tahoma"/>
                <w:lang w:val="en-US"/>
              </w:rPr>
              <w:t>Home Straight Park</w:t>
            </w:r>
            <w:r w:rsidRPr="00430C79">
              <w:rPr>
                <w:rFonts w:eastAsia="Tahoma" w:cs="Arial"/>
                <w:lang w:val="en-US"/>
              </w:rPr>
              <w:t>.</w:t>
            </w:r>
          </w:p>
        </w:tc>
      </w:tr>
      <w:tr w:rsidR="00A251EE" w:rsidRPr="00430C79" w14:paraId="3C8C5EB6" w14:textId="77777777" w:rsidTr="00D1711F">
        <w:tc>
          <w:tcPr>
            <w:tcW w:w="1265" w:type="pct"/>
          </w:tcPr>
          <w:p w14:paraId="16E25252"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Property Due Diligence Reporting</w:t>
            </w:r>
          </w:p>
        </w:tc>
        <w:tc>
          <w:tcPr>
            <w:tcW w:w="561" w:type="pct"/>
            <w:shd w:val="clear" w:color="auto" w:fill="auto"/>
          </w:tcPr>
          <w:p w14:paraId="037CC6D2" w14:textId="0C2E5000" w:rsidR="00A251EE" w:rsidRPr="00D1711F" w:rsidRDefault="00A251EE" w:rsidP="004C3E18">
            <w:pPr>
              <w:spacing w:before="120" w:after="120" w:line="240" w:lineRule="auto"/>
              <w:rPr>
                <w:rFonts w:eastAsia="Tahoma" w:cs="Arial"/>
              </w:rPr>
            </w:pPr>
            <w:r w:rsidRPr="00D1711F">
              <w:rPr>
                <w:rFonts w:eastAsia="Tahoma" w:cs="Arial"/>
                <w:lang w:val="en-US"/>
              </w:rPr>
              <w:t>$</w:t>
            </w:r>
            <w:r w:rsidR="00512874">
              <w:rPr>
                <w:rFonts w:eastAsia="Tahoma" w:cs="Arial"/>
                <w:color w:val="211E1F"/>
                <w:lang w:val="en-US"/>
              </w:rPr>
              <w:t>33,441</w:t>
            </w:r>
          </w:p>
        </w:tc>
        <w:tc>
          <w:tcPr>
            <w:tcW w:w="1070" w:type="pct"/>
          </w:tcPr>
          <w:p w14:paraId="64E40E26" w14:textId="6CC897B2" w:rsidR="00A251EE" w:rsidRPr="005311BD" w:rsidRDefault="001D3600" w:rsidP="004C3E18">
            <w:pPr>
              <w:spacing w:before="120" w:after="120" w:line="240" w:lineRule="auto"/>
              <w:rPr>
                <w:rFonts w:eastAsia="Tahoma" w:cs="Arial"/>
              </w:rPr>
            </w:pPr>
            <w:r w:rsidRPr="005311BD">
              <w:rPr>
                <w:rFonts w:eastAsia="Tahoma"/>
                <w:color w:val="211E1F"/>
                <w:lang w:val="en-US"/>
              </w:rPr>
              <w:t>Hampton Jones</w:t>
            </w:r>
            <w:r w:rsidR="00512874">
              <w:rPr>
                <w:rFonts w:eastAsia="Tahoma"/>
                <w:color w:val="211E1F"/>
                <w:lang w:val="en-US"/>
              </w:rPr>
              <w:t xml:space="preserve"> and </w:t>
            </w:r>
            <w:r w:rsidR="00512874" w:rsidRPr="00512874">
              <w:rPr>
                <w:rFonts w:eastAsia="Tahoma"/>
                <w:color w:val="211E1F"/>
                <w:lang w:val="en-US"/>
              </w:rPr>
              <w:t>KPMG SGA Property Consultancy Pty Limited</w:t>
            </w:r>
          </w:p>
        </w:tc>
        <w:tc>
          <w:tcPr>
            <w:tcW w:w="2104" w:type="pct"/>
          </w:tcPr>
          <w:p w14:paraId="1BFFB9EC" w14:textId="1D197A60" w:rsidR="00A251EE" w:rsidRPr="00430C79" w:rsidRDefault="00A251EE" w:rsidP="005311BD">
            <w:pPr>
              <w:spacing w:before="120" w:after="120" w:line="240" w:lineRule="auto"/>
              <w:rPr>
                <w:rFonts w:eastAsia="Tahoma" w:cs="Arial"/>
                <w:color w:val="211E1F"/>
              </w:rPr>
            </w:pPr>
            <w:r w:rsidRPr="00430C79">
              <w:rPr>
                <w:rFonts w:eastAsia="Tahoma" w:cs="Arial"/>
                <w:color w:val="211E1F"/>
                <w:lang w:val="en-US"/>
              </w:rPr>
              <w:t>Th</w:t>
            </w:r>
            <w:r w:rsidR="00A8120E">
              <w:rPr>
                <w:rFonts w:eastAsia="Tahoma" w:cs="Arial"/>
                <w:color w:val="211E1F"/>
                <w:lang w:val="en-US"/>
              </w:rPr>
              <w:t>is</w:t>
            </w:r>
            <w:r w:rsidRPr="00430C79">
              <w:rPr>
                <w:rFonts w:eastAsia="Tahoma" w:cs="Arial"/>
                <w:color w:val="211E1F"/>
                <w:lang w:val="en-US"/>
              </w:rPr>
              <w:t xml:space="preserve"> fee</w:t>
            </w:r>
            <w:r w:rsidR="00A8120E">
              <w:rPr>
                <w:rFonts w:eastAsia="Tahoma" w:cs="Arial"/>
                <w:color w:val="211E1F"/>
                <w:lang w:val="en-US"/>
              </w:rPr>
              <w:t xml:space="preserve"> includes the $26,441 paid to </w:t>
            </w:r>
            <w:r w:rsidR="001D3600">
              <w:rPr>
                <w:rFonts w:eastAsia="Tahoma" w:cs="Arial"/>
                <w:color w:val="211E1F"/>
                <w:lang w:val="en-US"/>
              </w:rPr>
              <w:t>Hampton Jones</w:t>
            </w:r>
            <w:r w:rsidRPr="00430C79">
              <w:rPr>
                <w:rFonts w:eastAsia="Tahoma" w:cs="Arial"/>
                <w:color w:val="211E1F"/>
                <w:lang w:val="en-US"/>
              </w:rPr>
              <w:t xml:space="preserve"> </w:t>
            </w:r>
            <w:r w:rsidR="00512874">
              <w:rPr>
                <w:rFonts w:eastAsia="Tahoma" w:cs="Arial"/>
                <w:color w:val="211E1F"/>
                <w:lang w:val="en-US"/>
              </w:rPr>
              <w:t xml:space="preserve">and </w:t>
            </w:r>
            <w:r w:rsidR="00313013">
              <w:rPr>
                <w:rFonts w:eastAsia="Tahoma" w:cs="Arial"/>
                <w:color w:val="211E1F"/>
                <w:lang w:val="en-US"/>
              </w:rPr>
              <w:t xml:space="preserve">$7,000 </w:t>
            </w:r>
            <w:r w:rsidR="00A8120E">
              <w:rPr>
                <w:rFonts w:eastAsia="Tahoma" w:cs="Arial"/>
                <w:color w:val="211E1F"/>
                <w:lang w:val="en-US"/>
              </w:rPr>
              <w:t xml:space="preserve">paid to </w:t>
            </w:r>
            <w:r w:rsidR="00512874" w:rsidRPr="00512874">
              <w:rPr>
                <w:rFonts w:eastAsia="Tahoma" w:cs="Arial"/>
                <w:color w:val="211E1F"/>
                <w:lang w:val="en-US"/>
              </w:rPr>
              <w:t xml:space="preserve">KPMG SGA Property Consultancy Pty Limited </w:t>
            </w:r>
            <w:r w:rsidRPr="00430C79">
              <w:rPr>
                <w:rFonts w:eastAsia="Tahoma" w:cs="Arial"/>
                <w:color w:val="211E1F"/>
                <w:lang w:val="en-US"/>
              </w:rPr>
              <w:t>for preparing technical due diligence report</w:t>
            </w:r>
            <w:r w:rsidR="00512874">
              <w:rPr>
                <w:rFonts w:eastAsia="Tahoma" w:cs="Arial"/>
                <w:color w:val="211E1F"/>
                <w:lang w:val="en-US"/>
              </w:rPr>
              <w:t>s</w:t>
            </w:r>
            <w:r w:rsidRPr="00430C79">
              <w:rPr>
                <w:rFonts w:eastAsia="Tahoma" w:cs="Arial"/>
                <w:color w:val="211E1F"/>
                <w:lang w:val="en-US"/>
              </w:rPr>
              <w:t xml:space="preserve"> on </w:t>
            </w:r>
            <w:r w:rsidR="00512874">
              <w:rPr>
                <w:rFonts w:eastAsia="Tahoma"/>
                <w:lang w:val="en-US"/>
              </w:rPr>
              <w:t>Home Straight Park</w:t>
            </w:r>
            <w:r w:rsidRPr="005311BD">
              <w:rPr>
                <w:rFonts w:eastAsia="Tahoma" w:cs="Arial"/>
                <w:color w:val="211E1F"/>
                <w:lang w:val="en-US"/>
              </w:rPr>
              <w:t>.</w:t>
            </w:r>
          </w:p>
        </w:tc>
      </w:tr>
      <w:tr w:rsidR="00A251EE" w:rsidRPr="00430C79" w14:paraId="581C1367" w14:textId="77777777" w:rsidTr="00D1711F">
        <w:tc>
          <w:tcPr>
            <w:tcW w:w="1265" w:type="pct"/>
          </w:tcPr>
          <w:p w14:paraId="701A4CFF"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Bank Legal</w:t>
            </w:r>
          </w:p>
        </w:tc>
        <w:tc>
          <w:tcPr>
            <w:tcW w:w="561" w:type="pct"/>
            <w:shd w:val="clear" w:color="auto" w:fill="auto"/>
          </w:tcPr>
          <w:p w14:paraId="3C08CD85" w14:textId="59D729B2" w:rsidR="00A251EE" w:rsidRPr="00D1711F" w:rsidRDefault="00A251EE" w:rsidP="004C3E18">
            <w:pPr>
              <w:spacing w:before="120" w:after="120" w:line="240" w:lineRule="auto"/>
              <w:rPr>
                <w:rFonts w:eastAsia="Tahoma" w:cs="Arial"/>
              </w:rPr>
            </w:pPr>
            <w:r w:rsidRPr="00D1711F">
              <w:rPr>
                <w:rFonts w:eastAsia="Tahoma" w:cs="Arial"/>
                <w:lang w:val="en-US"/>
              </w:rPr>
              <w:t>$</w:t>
            </w:r>
            <w:r w:rsidR="00512874">
              <w:rPr>
                <w:rFonts w:eastAsia="Tahoma" w:cs="Arial"/>
                <w:color w:val="211E1F"/>
                <w:lang w:val="en-US"/>
              </w:rPr>
              <w:t>11,500</w:t>
            </w:r>
          </w:p>
        </w:tc>
        <w:tc>
          <w:tcPr>
            <w:tcW w:w="1070" w:type="pct"/>
          </w:tcPr>
          <w:p w14:paraId="38C13CF6" w14:textId="4232C856" w:rsidR="00A251EE" w:rsidRPr="005311BD" w:rsidRDefault="00512874" w:rsidP="004C3E18">
            <w:pPr>
              <w:spacing w:before="120" w:after="120" w:line="240" w:lineRule="auto"/>
              <w:rPr>
                <w:rFonts w:eastAsia="Tahoma" w:cs="Arial"/>
              </w:rPr>
            </w:pPr>
            <w:r>
              <w:rPr>
                <w:rFonts w:eastAsia="Tahoma"/>
                <w:color w:val="211E1F"/>
                <w:lang w:val="en-US"/>
              </w:rPr>
              <w:t>ASB Bank</w:t>
            </w:r>
          </w:p>
        </w:tc>
        <w:tc>
          <w:tcPr>
            <w:tcW w:w="2104" w:type="pct"/>
          </w:tcPr>
          <w:p w14:paraId="684C7471" w14:textId="04432123"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 xml:space="preserve">The fee charged </w:t>
            </w:r>
            <w:r w:rsidRPr="005311BD">
              <w:rPr>
                <w:rFonts w:eastAsia="Tahoma" w:cs="Arial"/>
                <w:color w:val="211E1F"/>
                <w:lang w:val="en-US"/>
              </w:rPr>
              <w:t xml:space="preserve">by </w:t>
            </w:r>
            <w:r w:rsidR="00512874">
              <w:rPr>
                <w:rFonts w:eastAsia="Tahoma" w:cs="Arial"/>
                <w:color w:val="211E1F"/>
                <w:lang w:val="en-US"/>
              </w:rPr>
              <w:t>ASB Bank</w:t>
            </w:r>
            <w:r w:rsidRPr="005311BD">
              <w:rPr>
                <w:rFonts w:eastAsia="Tahoma" w:cs="Arial"/>
                <w:color w:val="211E1F"/>
                <w:lang w:val="en-US"/>
              </w:rPr>
              <w:t>’s solicitors</w:t>
            </w:r>
            <w:r w:rsidRPr="00430C79">
              <w:rPr>
                <w:rFonts w:eastAsia="Tahoma" w:cs="Arial"/>
                <w:color w:val="211E1F"/>
                <w:lang w:val="en-US"/>
              </w:rPr>
              <w:t xml:space="preserve"> for arranging the bank financing.</w:t>
            </w:r>
          </w:p>
        </w:tc>
      </w:tr>
      <w:tr w:rsidR="00A251EE" w:rsidRPr="00430C79" w14:paraId="35780A12" w14:textId="77777777" w:rsidTr="00D1711F">
        <w:tc>
          <w:tcPr>
            <w:tcW w:w="1265" w:type="pct"/>
          </w:tcPr>
          <w:p w14:paraId="48213607"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Asset Valuation</w:t>
            </w:r>
          </w:p>
        </w:tc>
        <w:tc>
          <w:tcPr>
            <w:tcW w:w="561" w:type="pct"/>
            <w:shd w:val="clear" w:color="auto" w:fill="auto"/>
          </w:tcPr>
          <w:p w14:paraId="3D227BB1" w14:textId="3F86569E" w:rsidR="00A251EE" w:rsidRPr="00D1711F" w:rsidRDefault="00A251EE" w:rsidP="004C3E18">
            <w:pPr>
              <w:spacing w:before="120" w:after="120" w:line="240" w:lineRule="auto"/>
              <w:rPr>
                <w:rFonts w:eastAsia="Tahoma" w:cs="Arial"/>
              </w:rPr>
            </w:pPr>
            <w:r w:rsidRPr="00D1711F">
              <w:rPr>
                <w:rFonts w:eastAsia="Tahoma" w:cs="Arial"/>
                <w:lang w:val="en-US"/>
              </w:rPr>
              <w:t>$</w:t>
            </w:r>
            <w:r w:rsidR="00313013">
              <w:rPr>
                <w:rFonts w:eastAsia="Tahoma" w:cs="Arial"/>
                <w:color w:val="211E1F"/>
                <w:lang w:val="en-US"/>
              </w:rPr>
              <w:t>22,500</w:t>
            </w:r>
          </w:p>
        </w:tc>
        <w:tc>
          <w:tcPr>
            <w:tcW w:w="1070" w:type="pct"/>
          </w:tcPr>
          <w:p w14:paraId="6EF00446" w14:textId="77777777" w:rsidR="00A251EE" w:rsidRPr="005311BD" w:rsidRDefault="005A287E" w:rsidP="004C3E18">
            <w:pPr>
              <w:spacing w:before="120" w:after="120" w:line="240" w:lineRule="auto"/>
              <w:rPr>
                <w:rFonts w:eastAsia="Tahoma" w:cs="Arial"/>
                <w:color w:val="211E1F"/>
              </w:rPr>
            </w:pPr>
            <w:r w:rsidRPr="005311BD">
              <w:rPr>
                <w:rFonts w:eastAsia="Tahoma"/>
                <w:color w:val="211E1F"/>
                <w:lang w:val="en-US"/>
              </w:rPr>
              <w:t>Jones Lang LaSalle</w:t>
            </w:r>
          </w:p>
        </w:tc>
        <w:tc>
          <w:tcPr>
            <w:tcW w:w="2104" w:type="pct"/>
          </w:tcPr>
          <w:p w14:paraId="08E0DC82" w14:textId="1FB5B834" w:rsidR="00A251EE" w:rsidRPr="00430C79" w:rsidRDefault="00A251EE" w:rsidP="005311BD">
            <w:pPr>
              <w:spacing w:before="120" w:after="120" w:line="240" w:lineRule="auto"/>
              <w:rPr>
                <w:rFonts w:eastAsia="Tahoma" w:cs="Arial"/>
                <w:color w:val="211E1F"/>
              </w:rPr>
            </w:pPr>
            <w:r w:rsidRPr="00430C79">
              <w:rPr>
                <w:rFonts w:eastAsia="Tahoma" w:cs="Arial"/>
                <w:color w:val="211E1F"/>
                <w:lang w:val="en-US"/>
              </w:rPr>
              <w:t xml:space="preserve">The fee payable to </w:t>
            </w:r>
            <w:r w:rsidR="005A287E">
              <w:rPr>
                <w:rFonts w:eastAsia="Tahoma" w:cs="Arial"/>
                <w:color w:val="211E1F"/>
                <w:lang w:val="en-US"/>
              </w:rPr>
              <w:t>Jones Lang LaSalle</w:t>
            </w:r>
            <w:r w:rsidRPr="00430C79">
              <w:rPr>
                <w:rFonts w:eastAsia="Tahoma" w:cs="Arial"/>
                <w:color w:val="211E1F"/>
                <w:lang w:val="en-US"/>
              </w:rPr>
              <w:t xml:space="preserve"> for the preparation of the valuation report</w:t>
            </w:r>
            <w:r w:rsidR="00313013">
              <w:rPr>
                <w:rFonts w:eastAsia="Tahoma" w:cs="Arial"/>
                <w:color w:val="211E1F"/>
                <w:lang w:val="en-US"/>
              </w:rPr>
              <w:t>s</w:t>
            </w:r>
            <w:r w:rsidRPr="00430C79">
              <w:rPr>
                <w:rFonts w:eastAsia="Tahoma" w:cs="Arial"/>
                <w:color w:val="211E1F"/>
                <w:lang w:val="en-US"/>
              </w:rPr>
              <w:t xml:space="preserve"> on </w:t>
            </w:r>
            <w:r w:rsidR="00512874">
              <w:rPr>
                <w:rFonts w:eastAsia="Tahoma"/>
                <w:lang w:val="en-US"/>
              </w:rPr>
              <w:t>Home Straight Park</w:t>
            </w:r>
            <w:r w:rsidRPr="005311BD">
              <w:rPr>
                <w:rFonts w:eastAsia="Tahoma" w:cs="Arial"/>
                <w:color w:val="211E1F"/>
                <w:lang w:val="en-US"/>
              </w:rPr>
              <w:t>.</w:t>
            </w:r>
          </w:p>
        </w:tc>
      </w:tr>
      <w:tr w:rsidR="00A251EE" w:rsidRPr="00430C79" w14:paraId="22D2D86B" w14:textId="77777777" w:rsidTr="00D1711F">
        <w:tc>
          <w:tcPr>
            <w:tcW w:w="1265" w:type="pct"/>
          </w:tcPr>
          <w:p w14:paraId="592719C6"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Plant &amp; Machinery Valuation</w:t>
            </w:r>
          </w:p>
        </w:tc>
        <w:tc>
          <w:tcPr>
            <w:tcW w:w="561" w:type="pct"/>
            <w:shd w:val="clear" w:color="auto" w:fill="auto"/>
          </w:tcPr>
          <w:p w14:paraId="4C149479" w14:textId="616B4053" w:rsidR="00A251EE" w:rsidRPr="00D1711F" w:rsidRDefault="00A251EE" w:rsidP="004C3E18">
            <w:pPr>
              <w:spacing w:before="120" w:after="120" w:line="240" w:lineRule="auto"/>
              <w:rPr>
                <w:rFonts w:eastAsia="Tahoma" w:cs="Arial"/>
              </w:rPr>
            </w:pPr>
            <w:r w:rsidRPr="00D1711F">
              <w:rPr>
                <w:rFonts w:eastAsia="Tahoma" w:cs="Arial"/>
                <w:lang w:val="en-US"/>
              </w:rPr>
              <w:t>$</w:t>
            </w:r>
            <w:r w:rsidR="00313013">
              <w:rPr>
                <w:rFonts w:eastAsia="Tahoma" w:cs="Arial"/>
                <w:color w:val="211E1F"/>
                <w:lang w:val="en-US"/>
              </w:rPr>
              <w:t>9,350</w:t>
            </w:r>
          </w:p>
        </w:tc>
        <w:tc>
          <w:tcPr>
            <w:tcW w:w="1070" w:type="pct"/>
          </w:tcPr>
          <w:p w14:paraId="4C90D41A" w14:textId="226C3398" w:rsidR="00A251EE" w:rsidRPr="005311BD" w:rsidRDefault="00313013" w:rsidP="004C3E18">
            <w:pPr>
              <w:spacing w:before="120" w:after="120" w:line="240" w:lineRule="auto"/>
              <w:rPr>
                <w:rFonts w:eastAsia="Tahoma" w:cs="Arial"/>
                <w:color w:val="211E1F"/>
              </w:rPr>
            </w:pPr>
            <w:r>
              <w:rPr>
                <w:rFonts w:eastAsia="Tahoma" w:cs="Arial"/>
                <w:color w:val="211E1F"/>
                <w:lang w:val="en-US"/>
              </w:rPr>
              <w:t>Jones Lang LaSalle</w:t>
            </w:r>
          </w:p>
        </w:tc>
        <w:tc>
          <w:tcPr>
            <w:tcW w:w="2104" w:type="pct"/>
          </w:tcPr>
          <w:p w14:paraId="6B25C3BB" w14:textId="7ABB98C9" w:rsidR="00A251EE" w:rsidRPr="00430C79" w:rsidRDefault="00A251EE" w:rsidP="005311BD">
            <w:pPr>
              <w:spacing w:before="120" w:after="120" w:line="240" w:lineRule="auto"/>
              <w:rPr>
                <w:rFonts w:eastAsia="Tahoma" w:cs="Arial"/>
                <w:color w:val="211E1F"/>
              </w:rPr>
            </w:pPr>
            <w:r w:rsidRPr="00430C79">
              <w:rPr>
                <w:rFonts w:eastAsia="Tahoma" w:cs="Arial"/>
                <w:color w:val="211E1F"/>
                <w:lang w:val="en-US"/>
              </w:rPr>
              <w:t xml:space="preserve">The fee payable to </w:t>
            </w:r>
            <w:r w:rsidR="00313013">
              <w:rPr>
                <w:rFonts w:eastAsia="Tahoma" w:cs="Arial"/>
                <w:color w:val="211E1F"/>
                <w:lang w:val="en-US"/>
              </w:rPr>
              <w:t>Jones Lang LaSalle</w:t>
            </w:r>
            <w:r w:rsidRPr="00430C79">
              <w:rPr>
                <w:rFonts w:eastAsia="Tahoma" w:cs="Arial"/>
                <w:color w:val="211E1F"/>
                <w:lang w:val="en-US"/>
              </w:rPr>
              <w:t xml:space="preserve"> for the preparation of the valuation report on the plant and machinery located at </w:t>
            </w:r>
            <w:r w:rsidR="00512874">
              <w:rPr>
                <w:rFonts w:eastAsia="Tahoma" w:cs="Arial"/>
                <w:color w:val="211E1F"/>
                <w:lang w:val="en-US"/>
              </w:rPr>
              <w:t>Home Straight Park</w:t>
            </w:r>
            <w:r w:rsidRPr="005311BD">
              <w:rPr>
                <w:rFonts w:eastAsia="Tahoma" w:cs="Arial"/>
                <w:color w:val="211E1F"/>
                <w:lang w:val="en-US"/>
              </w:rPr>
              <w:t>.</w:t>
            </w:r>
          </w:p>
        </w:tc>
      </w:tr>
      <w:tr w:rsidR="00A251EE" w:rsidRPr="00430C79" w14:paraId="5497EB4D" w14:textId="77777777" w:rsidTr="00D1711F">
        <w:tc>
          <w:tcPr>
            <w:tcW w:w="1265" w:type="pct"/>
          </w:tcPr>
          <w:p w14:paraId="0DC5418A"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lastRenderedPageBreak/>
              <w:t>Supervisor's fee</w:t>
            </w:r>
          </w:p>
        </w:tc>
        <w:tc>
          <w:tcPr>
            <w:tcW w:w="561" w:type="pct"/>
            <w:shd w:val="clear" w:color="auto" w:fill="auto"/>
          </w:tcPr>
          <w:p w14:paraId="636FF53E" w14:textId="1B7ADC20" w:rsidR="00A251EE" w:rsidRPr="00D1711F" w:rsidRDefault="00A251EE" w:rsidP="004C3E18">
            <w:pPr>
              <w:spacing w:before="120" w:after="120" w:line="240" w:lineRule="auto"/>
              <w:rPr>
                <w:rFonts w:eastAsia="Tahoma" w:cs="Arial"/>
              </w:rPr>
            </w:pPr>
            <w:r w:rsidRPr="00D1711F">
              <w:rPr>
                <w:rFonts w:eastAsia="Tahoma" w:cs="Arial"/>
                <w:lang w:val="en-US"/>
              </w:rPr>
              <w:t>$</w:t>
            </w:r>
            <w:r w:rsidR="00FA7131" w:rsidRPr="00D1711F">
              <w:rPr>
                <w:rFonts w:eastAsia="Tahoma" w:cs="Arial"/>
                <w:color w:val="211E1F"/>
                <w:lang w:val="en-US"/>
              </w:rPr>
              <w:t>5,000</w:t>
            </w:r>
          </w:p>
        </w:tc>
        <w:tc>
          <w:tcPr>
            <w:tcW w:w="1070" w:type="pct"/>
          </w:tcPr>
          <w:p w14:paraId="59202882" w14:textId="77777777" w:rsidR="00A251EE" w:rsidRPr="00430C79" w:rsidRDefault="00A251EE" w:rsidP="004C3E18">
            <w:pPr>
              <w:spacing w:before="120" w:after="120" w:line="240" w:lineRule="auto"/>
              <w:rPr>
                <w:rFonts w:eastAsia="Tahoma" w:cs="Arial"/>
              </w:rPr>
            </w:pPr>
            <w:r w:rsidRPr="005311BD">
              <w:rPr>
                <w:rFonts w:eastAsia="Tahoma" w:cs="Arial"/>
                <w:lang w:val="en-US"/>
              </w:rPr>
              <w:t>Covenant Trustee Services Limited</w:t>
            </w:r>
          </w:p>
        </w:tc>
        <w:tc>
          <w:tcPr>
            <w:tcW w:w="2104" w:type="pct"/>
          </w:tcPr>
          <w:p w14:paraId="41BEED07"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The Supervisor’s fee for its services in relation to the establishment of the Scheme.</w:t>
            </w:r>
          </w:p>
        </w:tc>
      </w:tr>
      <w:tr w:rsidR="00A251EE" w:rsidRPr="00430C79" w14:paraId="00203E18" w14:textId="77777777" w:rsidTr="00D1711F">
        <w:tc>
          <w:tcPr>
            <w:tcW w:w="1265" w:type="pct"/>
          </w:tcPr>
          <w:p w14:paraId="5A5B6F6C" w14:textId="77777777" w:rsidR="00A251EE" w:rsidRPr="00430C79" w:rsidRDefault="00A251EE" w:rsidP="00430C79">
            <w:pPr>
              <w:spacing w:before="120" w:after="120" w:line="240" w:lineRule="auto"/>
              <w:rPr>
                <w:rFonts w:eastAsia="Tahoma" w:cs="Arial"/>
                <w:color w:val="211E1F"/>
              </w:rPr>
            </w:pPr>
            <w:r w:rsidRPr="00430C79">
              <w:rPr>
                <w:rFonts w:eastAsia="Tahoma" w:cs="Arial"/>
                <w:color w:val="211E1F"/>
                <w:lang w:val="en-US"/>
              </w:rPr>
              <w:t>Directors &amp; Officers and</w:t>
            </w:r>
            <w:r w:rsidR="00430C79" w:rsidRPr="00430C79">
              <w:rPr>
                <w:rFonts w:eastAsia="Tahoma" w:cs="Arial"/>
                <w:color w:val="211E1F"/>
                <w:lang w:val="en-US"/>
              </w:rPr>
              <w:t xml:space="preserve"> </w:t>
            </w:r>
            <w:r w:rsidRPr="00430C79">
              <w:rPr>
                <w:rFonts w:eastAsia="Tahoma" w:cs="Arial"/>
                <w:color w:val="211E1F"/>
                <w:lang w:val="en-US"/>
              </w:rPr>
              <w:t>Professional Indemnity Insurance</w:t>
            </w:r>
          </w:p>
        </w:tc>
        <w:tc>
          <w:tcPr>
            <w:tcW w:w="561" w:type="pct"/>
            <w:shd w:val="clear" w:color="auto" w:fill="auto"/>
          </w:tcPr>
          <w:p w14:paraId="00CE5722" w14:textId="6F9206BA" w:rsidR="00A251EE" w:rsidRPr="00D1711F" w:rsidRDefault="00A251EE" w:rsidP="004C3E18">
            <w:pPr>
              <w:spacing w:before="120" w:after="120" w:line="240" w:lineRule="auto"/>
              <w:rPr>
                <w:rFonts w:eastAsia="Tahoma" w:cs="Arial"/>
              </w:rPr>
            </w:pPr>
            <w:r w:rsidRPr="00D1711F">
              <w:rPr>
                <w:rFonts w:eastAsia="Tahoma" w:cs="Arial"/>
                <w:lang w:val="en-US"/>
              </w:rPr>
              <w:t>$</w:t>
            </w:r>
            <w:r w:rsidR="00313013">
              <w:rPr>
                <w:rFonts w:eastAsia="Tahoma" w:cs="Arial"/>
                <w:color w:val="211E1F"/>
                <w:lang w:val="en-US"/>
              </w:rPr>
              <w:t>14,840</w:t>
            </w:r>
          </w:p>
        </w:tc>
        <w:tc>
          <w:tcPr>
            <w:tcW w:w="1070" w:type="pct"/>
          </w:tcPr>
          <w:p w14:paraId="06F15F1D" w14:textId="77777777" w:rsidR="00A251EE" w:rsidRPr="00430C79" w:rsidRDefault="00A51EC3" w:rsidP="004C3E18">
            <w:pPr>
              <w:spacing w:before="120" w:after="120" w:line="240" w:lineRule="auto"/>
              <w:rPr>
                <w:rFonts w:eastAsia="Tahoma" w:cs="Arial"/>
              </w:rPr>
            </w:pPr>
            <w:r w:rsidRPr="005311BD">
              <w:rPr>
                <w:rFonts w:eastAsia="Tahoma"/>
                <w:color w:val="211E1F"/>
                <w:lang w:val="en-US"/>
              </w:rPr>
              <w:t>Aon</w:t>
            </w:r>
          </w:p>
        </w:tc>
        <w:tc>
          <w:tcPr>
            <w:tcW w:w="2104" w:type="pct"/>
          </w:tcPr>
          <w:p w14:paraId="74DA9202" w14:textId="77777777" w:rsidR="00A251EE" w:rsidRPr="00430C79" w:rsidRDefault="00A251EE" w:rsidP="004C3E18">
            <w:pPr>
              <w:spacing w:before="120" w:after="120" w:line="240" w:lineRule="auto"/>
              <w:rPr>
                <w:rFonts w:eastAsia="Tahoma" w:cs="Arial"/>
              </w:rPr>
            </w:pPr>
            <w:r w:rsidRPr="00430C79">
              <w:rPr>
                <w:rFonts w:eastAsia="Tahoma" w:cs="Arial"/>
                <w:lang w:val="en-US"/>
              </w:rPr>
              <w:t xml:space="preserve">The fee payable to </w:t>
            </w:r>
            <w:r w:rsidR="00A51EC3" w:rsidRPr="005311BD">
              <w:rPr>
                <w:rFonts w:eastAsia="Tahoma"/>
                <w:color w:val="211E1F"/>
                <w:lang w:val="en-US"/>
              </w:rPr>
              <w:t>Aon</w:t>
            </w:r>
            <w:r w:rsidRPr="00430C79">
              <w:rPr>
                <w:rFonts w:eastAsia="Tahoma" w:cs="Arial"/>
                <w:lang w:val="en-US"/>
              </w:rPr>
              <w:t xml:space="preserve"> for insurance in relation to the Offer.</w:t>
            </w:r>
          </w:p>
        </w:tc>
      </w:tr>
      <w:tr w:rsidR="00A251EE" w:rsidRPr="00430C79" w14:paraId="369B6A8C" w14:textId="77777777" w:rsidTr="00D1711F">
        <w:tc>
          <w:tcPr>
            <w:tcW w:w="1265" w:type="pct"/>
          </w:tcPr>
          <w:p w14:paraId="6FFAD50A"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PDS Registration Cost</w:t>
            </w:r>
          </w:p>
        </w:tc>
        <w:tc>
          <w:tcPr>
            <w:tcW w:w="561" w:type="pct"/>
            <w:shd w:val="clear" w:color="auto" w:fill="auto"/>
          </w:tcPr>
          <w:p w14:paraId="04CBD4ED" w14:textId="7DC4B015" w:rsidR="00A251EE" w:rsidRPr="00D1711F" w:rsidRDefault="00A251EE" w:rsidP="004C3E18">
            <w:pPr>
              <w:spacing w:before="120" w:after="120" w:line="240" w:lineRule="auto"/>
              <w:rPr>
                <w:rFonts w:eastAsia="Tahoma" w:cs="Arial"/>
              </w:rPr>
            </w:pPr>
            <w:r w:rsidRPr="00D1711F">
              <w:rPr>
                <w:rFonts w:eastAsia="Tahoma" w:cs="Arial"/>
                <w:lang w:val="en-US"/>
              </w:rPr>
              <w:t>$</w:t>
            </w:r>
            <w:r w:rsidR="00A51EC3" w:rsidRPr="00D1711F">
              <w:rPr>
                <w:rFonts w:eastAsia="Tahoma" w:cs="Arial"/>
                <w:color w:val="211E1F"/>
                <w:lang w:val="en-US"/>
              </w:rPr>
              <w:t>5,690</w:t>
            </w:r>
          </w:p>
        </w:tc>
        <w:tc>
          <w:tcPr>
            <w:tcW w:w="1070" w:type="pct"/>
          </w:tcPr>
          <w:p w14:paraId="1AB4465E" w14:textId="77777777" w:rsidR="00A251EE" w:rsidRPr="00430C79" w:rsidRDefault="00A251EE" w:rsidP="004C3E18">
            <w:pPr>
              <w:spacing w:before="120" w:after="120" w:line="240" w:lineRule="auto"/>
              <w:rPr>
                <w:rFonts w:eastAsia="Tahoma" w:cs="Arial"/>
              </w:rPr>
            </w:pPr>
            <w:r w:rsidRPr="00430C79">
              <w:rPr>
                <w:rFonts w:eastAsia="Tahoma" w:cs="Arial"/>
                <w:lang w:val="en-US"/>
              </w:rPr>
              <w:t>Financial Markets Authority</w:t>
            </w:r>
          </w:p>
        </w:tc>
        <w:tc>
          <w:tcPr>
            <w:tcW w:w="2104" w:type="pct"/>
          </w:tcPr>
          <w:p w14:paraId="10FC3574"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Fees charged by the Financial Markets Authority for the registration of the PDS and registration of the Scheme.</w:t>
            </w:r>
          </w:p>
        </w:tc>
      </w:tr>
      <w:tr w:rsidR="00A251EE" w:rsidRPr="00430C79" w14:paraId="39DF2AB0" w14:textId="77777777" w:rsidTr="00D1711F">
        <w:tc>
          <w:tcPr>
            <w:tcW w:w="1265" w:type="pct"/>
          </w:tcPr>
          <w:p w14:paraId="03535AAC" w14:textId="77777777" w:rsidR="00A251EE" w:rsidRPr="00430C79" w:rsidRDefault="00A251EE" w:rsidP="004C3E18">
            <w:pPr>
              <w:spacing w:before="120" w:after="120" w:line="240" w:lineRule="auto"/>
              <w:rPr>
                <w:rFonts w:eastAsia="Tahoma" w:cs="Arial"/>
                <w:color w:val="211E1F"/>
              </w:rPr>
            </w:pPr>
            <w:r w:rsidRPr="00430C79">
              <w:rPr>
                <w:rFonts w:eastAsia="Tahoma" w:cs="Arial"/>
                <w:color w:val="211E1F"/>
                <w:lang w:val="en-US"/>
              </w:rPr>
              <w:t>Insurance Valuation</w:t>
            </w:r>
          </w:p>
        </w:tc>
        <w:tc>
          <w:tcPr>
            <w:tcW w:w="561" w:type="pct"/>
            <w:shd w:val="clear" w:color="auto" w:fill="auto"/>
          </w:tcPr>
          <w:p w14:paraId="2FCA3BD9" w14:textId="6E42C03E" w:rsidR="00A251EE" w:rsidRPr="00D1711F" w:rsidRDefault="00A251EE" w:rsidP="004C3E18">
            <w:pPr>
              <w:spacing w:before="120" w:after="120" w:line="240" w:lineRule="auto"/>
              <w:rPr>
                <w:rFonts w:eastAsia="Tahoma" w:cs="Arial"/>
              </w:rPr>
            </w:pPr>
            <w:r w:rsidRPr="00D1711F">
              <w:rPr>
                <w:rFonts w:eastAsia="Tahoma" w:cs="Arial"/>
                <w:lang w:val="en-US"/>
              </w:rPr>
              <w:t>$</w:t>
            </w:r>
            <w:r w:rsidR="00313013">
              <w:rPr>
                <w:rFonts w:eastAsia="Tahoma" w:cs="Arial"/>
                <w:color w:val="211E1F"/>
                <w:lang w:val="en-US"/>
              </w:rPr>
              <w:t>3,000</w:t>
            </w:r>
          </w:p>
        </w:tc>
        <w:tc>
          <w:tcPr>
            <w:tcW w:w="1070" w:type="pct"/>
          </w:tcPr>
          <w:p w14:paraId="7C66B29F" w14:textId="77777777" w:rsidR="00A251EE" w:rsidRPr="005311BD" w:rsidRDefault="00A51EC3" w:rsidP="004C3E18">
            <w:pPr>
              <w:spacing w:before="120" w:after="120" w:line="240" w:lineRule="auto"/>
              <w:rPr>
                <w:rFonts w:eastAsia="Tahoma" w:cs="Arial"/>
                <w:color w:val="211E1F"/>
              </w:rPr>
            </w:pPr>
            <w:r w:rsidRPr="005311BD">
              <w:rPr>
                <w:rFonts w:eastAsia="Tahoma"/>
                <w:color w:val="211E1F"/>
                <w:lang w:val="en-US"/>
              </w:rPr>
              <w:t>Jones Lang LaSalle</w:t>
            </w:r>
          </w:p>
        </w:tc>
        <w:tc>
          <w:tcPr>
            <w:tcW w:w="2104" w:type="pct"/>
          </w:tcPr>
          <w:p w14:paraId="0ADF76D9" w14:textId="4F0DEF3B" w:rsidR="00A251EE" w:rsidRPr="00430C79" w:rsidRDefault="00A251EE" w:rsidP="005311BD">
            <w:pPr>
              <w:spacing w:before="120" w:after="120" w:line="240" w:lineRule="auto"/>
              <w:rPr>
                <w:rFonts w:eastAsia="Tahoma" w:cs="Arial"/>
                <w:color w:val="211E1F"/>
              </w:rPr>
            </w:pPr>
            <w:r w:rsidRPr="00430C79">
              <w:rPr>
                <w:rFonts w:eastAsia="Tahoma" w:cs="Arial"/>
                <w:color w:val="211E1F"/>
                <w:lang w:val="en-US"/>
              </w:rPr>
              <w:t xml:space="preserve">The fee payable to </w:t>
            </w:r>
            <w:r w:rsidR="00A51EC3">
              <w:rPr>
                <w:rFonts w:eastAsia="Tahoma" w:cs="Arial"/>
                <w:color w:val="211E1F"/>
                <w:lang w:val="en-US"/>
              </w:rPr>
              <w:t>Jones Lang LaSalle</w:t>
            </w:r>
            <w:r w:rsidRPr="00430C79">
              <w:rPr>
                <w:rFonts w:eastAsia="Tahoma" w:cs="Arial"/>
                <w:color w:val="211E1F"/>
                <w:lang w:val="en-US"/>
              </w:rPr>
              <w:t xml:space="preserve"> for the preparation of the insurance valuation report on </w:t>
            </w:r>
            <w:r w:rsidR="00512874">
              <w:rPr>
                <w:rFonts w:eastAsia="Tahoma"/>
                <w:lang w:val="en-US"/>
              </w:rPr>
              <w:t>Home Straight Park</w:t>
            </w:r>
            <w:r w:rsidRPr="005311BD">
              <w:rPr>
                <w:rFonts w:eastAsia="Tahoma" w:cs="Arial"/>
                <w:color w:val="211E1F"/>
                <w:lang w:val="en-US"/>
              </w:rPr>
              <w:t>.</w:t>
            </w:r>
          </w:p>
        </w:tc>
      </w:tr>
      <w:tr w:rsidR="00A251EE" w:rsidRPr="00430C79" w14:paraId="6A9EB6B1" w14:textId="77777777" w:rsidTr="005311BD">
        <w:tc>
          <w:tcPr>
            <w:tcW w:w="1265" w:type="pct"/>
          </w:tcPr>
          <w:p w14:paraId="41758332" w14:textId="77777777" w:rsidR="00A251EE" w:rsidRPr="00430C79" w:rsidRDefault="00A251EE" w:rsidP="004C3E18">
            <w:pPr>
              <w:spacing w:before="120" w:after="120" w:line="240" w:lineRule="auto"/>
              <w:rPr>
                <w:rFonts w:eastAsia="Tahoma" w:cs="Arial"/>
                <w:b/>
                <w:color w:val="211E1F"/>
              </w:rPr>
            </w:pPr>
            <w:r w:rsidRPr="00430C79">
              <w:rPr>
                <w:rFonts w:eastAsia="Tahoma" w:cs="Arial"/>
                <w:b/>
                <w:color w:val="211E1F"/>
                <w:lang w:val="en-US"/>
              </w:rPr>
              <w:t>Total</w:t>
            </w:r>
          </w:p>
        </w:tc>
        <w:tc>
          <w:tcPr>
            <w:tcW w:w="561" w:type="pct"/>
          </w:tcPr>
          <w:p w14:paraId="5436E629" w14:textId="1BCB5B54" w:rsidR="00A251EE" w:rsidRPr="00430C79" w:rsidRDefault="00A251EE" w:rsidP="004C3E18">
            <w:pPr>
              <w:spacing w:before="120" w:after="120" w:line="240" w:lineRule="auto"/>
              <w:rPr>
                <w:rFonts w:eastAsia="Tahoma" w:cs="Arial"/>
                <w:b/>
              </w:rPr>
            </w:pPr>
            <w:r w:rsidRPr="00430C79">
              <w:rPr>
                <w:rFonts w:eastAsia="Tahoma" w:cs="Arial"/>
                <w:b/>
                <w:lang w:val="en-US"/>
              </w:rPr>
              <w:t>$</w:t>
            </w:r>
            <w:r w:rsidR="00313013">
              <w:rPr>
                <w:rFonts w:eastAsia="Tahoma" w:cs="Arial"/>
                <w:b/>
                <w:lang w:val="en-US"/>
              </w:rPr>
              <w:t>3,212,168</w:t>
            </w:r>
          </w:p>
        </w:tc>
        <w:tc>
          <w:tcPr>
            <w:tcW w:w="1070" w:type="pct"/>
          </w:tcPr>
          <w:p w14:paraId="59289A4B" w14:textId="77777777" w:rsidR="00A251EE" w:rsidRPr="00430C79" w:rsidRDefault="00A251EE" w:rsidP="004C3E18">
            <w:pPr>
              <w:spacing w:before="120" w:after="120" w:line="240" w:lineRule="auto"/>
              <w:rPr>
                <w:rFonts w:eastAsia="Tahoma" w:cs="Arial"/>
                <w:lang w:val="en-US"/>
              </w:rPr>
            </w:pPr>
          </w:p>
        </w:tc>
        <w:tc>
          <w:tcPr>
            <w:tcW w:w="2104" w:type="pct"/>
          </w:tcPr>
          <w:p w14:paraId="05B42291" w14:textId="77777777" w:rsidR="00A251EE" w:rsidRPr="00430C79" w:rsidRDefault="00A251EE" w:rsidP="004C3E18">
            <w:pPr>
              <w:spacing w:before="120" w:after="120" w:line="240" w:lineRule="auto"/>
              <w:rPr>
                <w:rFonts w:eastAsia="Tahoma" w:cs="Arial"/>
                <w:color w:val="211E1F"/>
                <w:lang w:val="en-US"/>
              </w:rPr>
            </w:pPr>
          </w:p>
        </w:tc>
      </w:tr>
    </w:tbl>
    <w:p w14:paraId="65D38FF9" w14:textId="77777777" w:rsidR="00CE27ED" w:rsidRDefault="00CE27ED" w:rsidP="00CE27ED">
      <w:pPr>
        <w:spacing w:before="240"/>
      </w:pPr>
      <w:r>
        <w:t>The above fees are exclusive of GST.</w:t>
      </w:r>
    </w:p>
    <w:p w14:paraId="00471DFA" w14:textId="77777777" w:rsidR="00CE27ED" w:rsidRDefault="00CE27ED" w:rsidP="00CE27ED">
      <w:pPr>
        <w:spacing w:before="240"/>
      </w:pPr>
      <w:r>
        <w:t>The above fees are payable by the Scheme; none are chargeable to Investors directly</w:t>
      </w:r>
      <w:r w:rsidR="00C704EC">
        <w:t xml:space="preserve">.  </w:t>
      </w:r>
      <w:r>
        <w:t>In respect of certain fees set out above, Oyster has already met these costs on behalf of the Scheme or will pay those costs prior to settlement and, accordingly, is entitled to reimbursement</w:t>
      </w:r>
      <w:r w:rsidR="00A251EE">
        <w:t xml:space="preserve"> </w:t>
      </w:r>
      <w:r>
        <w:t>on the Settlement Date</w:t>
      </w:r>
      <w:r w:rsidR="00C704EC">
        <w:t xml:space="preserve">.  </w:t>
      </w:r>
      <w:r>
        <w:t>Other fees may be paid by Oyster between the date of th</w:t>
      </w:r>
      <w:r w:rsidR="00FC3CD9">
        <w:t>e</w:t>
      </w:r>
      <w:r>
        <w:t xml:space="preserve"> PDS and settlement</w:t>
      </w:r>
      <w:r w:rsidR="00C704EC">
        <w:t xml:space="preserve">.  </w:t>
      </w:r>
      <w:r>
        <w:t>Those fees will be reimbursed to Oyster on the Settlement Date.</w:t>
      </w:r>
    </w:p>
    <w:p w14:paraId="43559D1E" w14:textId="77777777" w:rsidR="00430C79" w:rsidRDefault="00430C79" w:rsidP="00CE27ED">
      <w:pPr>
        <w:spacing w:before="240"/>
      </w:pPr>
    </w:p>
    <w:p w14:paraId="46796290" w14:textId="77777777" w:rsidR="00430C79" w:rsidRDefault="00430C79" w:rsidP="00CE27ED">
      <w:pPr>
        <w:spacing w:before="240"/>
      </w:pPr>
    </w:p>
    <w:sectPr w:rsidR="00430C79" w:rsidSect="0082020F">
      <w:headerReference w:type="even" r:id="rId11"/>
      <w:headerReference w:type="default" r:id="rId12"/>
      <w:footerReference w:type="even" r:id="rId13"/>
      <w:footerReference w:type="default" r:id="rId14"/>
      <w:footerReference w:type="first" r:id="rId15"/>
      <w:pgSz w:w="16840" w:h="11907" w:orient="landscape" w:code="9"/>
      <w:pgMar w:top="1418" w:right="1418" w:bottom="1418" w:left="1418" w:header="851" w:footer="42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657BD" w14:textId="77777777" w:rsidR="00A06EA1" w:rsidRPr="00B21D81" w:rsidRDefault="00A06EA1" w:rsidP="00B21D81">
      <w:pPr>
        <w:rPr>
          <w:color w:val="A6A6A6"/>
          <w:sz w:val="12"/>
        </w:rPr>
      </w:pPr>
      <w:r w:rsidRPr="00B21D81">
        <w:rPr>
          <w:color w:val="BFBFBF"/>
          <w:sz w:val="24"/>
        </w:rPr>
        <w:separator/>
      </w:r>
    </w:p>
  </w:endnote>
  <w:endnote w:type="continuationSeparator" w:id="0">
    <w:p w14:paraId="685D272A" w14:textId="77777777" w:rsidR="00A06EA1" w:rsidRPr="00B21D81" w:rsidRDefault="00A06EA1" w:rsidP="00B21D81">
      <w:pPr>
        <w:rPr>
          <w:color w:val="A6A6A6"/>
          <w:sz w:val="12"/>
        </w:rPr>
      </w:pPr>
      <w:r w:rsidRPr="00B21D81">
        <w:rPr>
          <w:color w:val="BFBFBF"/>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771A" w14:textId="77777777" w:rsidR="00EF4C3A" w:rsidRDefault="00E549E9">
    <w:pPr>
      <w:pStyle w:val="Footer"/>
      <w:framePr w:wrap="around" w:vAnchor="text" w:hAnchor="margin" w:xAlign="right" w:y="1"/>
    </w:pPr>
    <w:r>
      <w:fldChar w:fldCharType="begin"/>
    </w:r>
    <w:r>
      <w:instrText xml:space="preserve">PAGE  </w:instrText>
    </w:r>
    <w:r>
      <w:fldChar w:fldCharType="separate"/>
    </w:r>
    <w:r w:rsidR="004912D7">
      <w:t>5</w:t>
    </w:r>
    <w:r>
      <w:fldChar w:fldCharType="end"/>
    </w:r>
  </w:p>
  <w:p w14:paraId="2C8AD6EB" w14:textId="77777777" w:rsidR="00EF4C3A" w:rsidRDefault="00EF4C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B8CC" w14:textId="77777777" w:rsidR="00EF4C3A" w:rsidRPr="002C5B7C" w:rsidRDefault="00B0127A" w:rsidP="00B65A11">
    <w:pPr>
      <w:pStyle w:val="Footer6pt"/>
    </w:pPr>
    <w:r>
      <w:fldChar w:fldCharType="begin"/>
    </w:r>
    <w:r>
      <w:instrText xml:space="preserve"> DOCPROPERTY "PCDOCSNumber"  </w:instrText>
    </w:r>
    <w:r>
      <w:fldChar w:fldCharType="separate"/>
    </w:r>
    <w:r w:rsidR="004912D7">
      <w:t>3992449</w:t>
    </w:r>
    <w:r>
      <w:fldChar w:fldCharType="end"/>
    </w:r>
    <w:r w:rsidR="00EF4C3A" w:rsidRPr="002C5B7C">
      <w:t xml:space="preserve"> </w:t>
    </w:r>
    <w:r>
      <w:fldChar w:fldCharType="begin"/>
    </w:r>
    <w:r>
      <w:instrText xml:space="preserve"> DOCPROPERTY "PCDOCSVersion"  </w:instrText>
    </w:r>
    <w:r>
      <w:fldChar w:fldCharType="separate"/>
    </w:r>
    <w:r w:rsidR="004912D7">
      <w:t>v1</w:t>
    </w:r>
    <w:r>
      <w:fldChar w:fldCharType="end"/>
    </w:r>
    <w:r w:rsidR="00EF4C3A" w:rsidRPr="002C5B7C">
      <w:t xml:space="preserve"> </w:t>
    </w:r>
    <w:r>
      <w:fldChar w:fldCharType="begin"/>
    </w:r>
    <w:r>
      <w:instrText xml:space="preserve"> DOCPROPERTY "PCDOCSLibrary"  </w:instrText>
    </w:r>
    <w:r>
      <w:fldChar w:fldCharType="separate"/>
    </w:r>
    <w:r w:rsidR="004912D7">
      <w:t xml:space="preserve"> </w:t>
    </w:r>
    <w:r>
      <w:fldChar w:fldCharType="end"/>
    </w:r>
    <w:r w:rsidR="00BB60B3">
      <w:ptab w:relativeTo="margin" w:alignment="right" w:leader="none"/>
    </w:r>
    <w:r w:rsidR="00BB60B3" w:rsidRPr="00BB60B3">
      <w:fldChar w:fldCharType="begin"/>
    </w:r>
    <w:r w:rsidR="00BB60B3" w:rsidRPr="00BB60B3">
      <w:instrText xml:space="preserve"> PAGE   \* MERGEFORMAT </w:instrText>
    </w:r>
    <w:r w:rsidR="00BB60B3" w:rsidRPr="00BB60B3">
      <w:fldChar w:fldCharType="separate"/>
    </w:r>
    <w:r w:rsidR="000817DA">
      <w:rPr>
        <w:noProof/>
      </w:rPr>
      <w:t>5</w:t>
    </w:r>
    <w:r w:rsidR="00BB60B3" w:rsidRPr="00BB60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0ED20" w14:textId="77777777" w:rsidR="00EF4C3A" w:rsidRDefault="00B0127A" w:rsidP="00B65A11">
    <w:pPr>
      <w:pStyle w:val="Footer6pt"/>
    </w:pPr>
    <w:r>
      <w:fldChar w:fldCharType="begin"/>
    </w:r>
    <w:r>
      <w:instrText xml:space="preserve"> DOCPROPERTY "PCDOCSNumber"  </w:instrText>
    </w:r>
    <w:r>
      <w:fldChar w:fldCharType="separate"/>
    </w:r>
    <w:r w:rsidR="004912D7">
      <w:t>3992449</w:t>
    </w:r>
    <w:r>
      <w:fldChar w:fldCharType="end"/>
    </w:r>
    <w:r w:rsidR="00EF4C3A">
      <w:t xml:space="preserve"> </w:t>
    </w:r>
    <w:r>
      <w:fldChar w:fldCharType="begin"/>
    </w:r>
    <w:r>
      <w:instrText xml:space="preserve"> DOCPROPERTY "PCDOCSVersion"  </w:instrText>
    </w:r>
    <w:r>
      <w:fldChar w:fldCharType="separate"/>
    </w:r>
    <w:r w:rsidR="004912D7">
      <w:t>v1</w:t>
    </w:r>
    <w:r>
      <w:fldChar w:fldCharType="end"/>
    </w:r>
    <w:r w:rsidR="00EF4C3A">
      <w:t xml:space="preserve"> </w:t>
    </w:r>
    <w:r>
      <w:fldChar w:fldCharType="begin"/>
    </w:r>
    <w:r>
      <w:instrText xml:space="preserve"> DOCPROPERTY "PCDOCSLibra</w:instrText>
    </w:r>
    <w:r>
      <w:instrText xml:space="preserve">ry"  </w:instrText>
    </w:r>
    <w:r>
      <w:fldChar w:fldCharType="separate"/>
    </w:r>
    <w:r w:rsidR="004912D7">
      <w:t xml:space="preserve"> </w:t>
    </w:r>
    <w:r>
      <w:fldChar w:fldCharType="end"/>
    </w:r>
    <w:r w:rsidR="00EF4C3A">
      <w:t xml:space="preserve"> </w:t>
    </w:r>
    <w:r>
      <w:fldChar w:fldCharType="begin"/>
    </w:r>
    <w:r>
      <w:instrText xml:space="preserve"> DOCPROPERTY "ComputerName"  </w:instrText>
    </w:r>
    <w:r>
      <w:fldChar w:fldCharType="separate"/>
    </w:r>
    <w:r w:rsidR="004912D7">
      <w:t xml:space="preserve"> </w:t>
    </w:r>
    <w:r>
      <w:fldChar w:fldCharType="end"/>
    </w:r>
    <w:r w:rsidR="00EF4C3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C8B1" w14:textId="77777777" w:rsidR="00A06EA1" w:rsidRPr="00697014" w:rsidRDefault="00A06EA1" w:rsidP="00E55175">
      <w:pPr>
        <w:rPr>
          <w:color w:val="A6A6A6" w:themeColor="background1" w:themeShade="A6"/>
          <w:sz w:val="12"/>
        </w:rPr>
      </w:pPr>
      <w:r w:rsidRPr="00697014">
        <w:rPr>
          <w:color w:val="BFBFBF" w:themeColor="background1" w:themeShade="BF"/>
          <w:sz w:val="24"/>
        </w:rPr>
        <w:separator/>
      </w:r>
    </w:p>
  </w:footnote>
  <w:footnote w:type="continuationSeparator" w:id="0">
    <w:p w14:paraId="7E9A8BAE" w14:textId="77777777" w:rsidR="00A06EA1" w:rsidRPr="00697014" w:rsidRDefault="00A06EA1" w:rsidP="00E55175">
      <w:pPr>
        <w:rPr>
          <w:color w:val="A6A6A6" w:themeColor="background1" w:themeShade="A6"/>
          <w:sz w:val="12"/>
        </w:rPr>
      </w:pPr>
      <w:r w:rsidRPr="00697014">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6860" w14:textId="77777777" w:rsidR="00EF4C3A" w:rsidRDefault="004F16AD">
    <w:pPr>
      <w:pStyle w:val="Header"/>
      <w:framePr w:wrap="around" w:vAnchor="text" w:hAnchor="margin" w:xAlign="right" w:y="1"/>
      <w:rPr>
        <w:rStyle w:val="PageNumber"/>
      </w:rPr>
    </w:pPr>
    <w:r>
      <w:rPr>
        <w:rStyle w:val="PageNumber"/>
      </w:rPr>
      <w:fldChar w:fldCharType="begin"/>
    </w:r>
    <w:r w:rsidR="00EF4C3A">
      <w:rPr>
        <w:rStyle w:val="PageNumber"/>
      </w:rPr>
      <w:instrText xml:space="preserve">PAGE  </w:instrText>
    </w:r>
    <w:r>
      <w:rPr>
        <w:rStyle w:val="PageNumber"/>
      </w:rPr>
      <w:fldChar w:fldCharType="separate"/>
    </w:r>
    <w:r w:rsidR="004912D7">
      <w:rPr>
        <w:rStyle w:val="PageNumber"/>
        <w:noProof/>
      </w:rPr>
      <w:t>5</w:t>
    </w:r>
    <w:r>
      <w:rPr>
        <w:rStyle w:val="PageNumber"/>
      </w:rPr>
      <w:fldChar w:fldCharType="end"/>
    </w:r>
  </w:p>
  <w:p w14:paraId="3378F6B4" w14:textId="77777777" w:rsidR="00EF4C3A" w:rsidRDefault="00EF4C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0201" w14:textId="77777777" w:rsidR="00EF4C3A" w:rsidRDefault="00EF4C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975C3"/>
    <w:multiLevelType w:val="multilevel"/>
    <w:tmpl w:val="3B6AD6E2"/>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6511EF"/>
    <w:multiLevelType w:val="singleLevel"/>
    <w:tmpl w:val="F938A0C8"/>
    <w:lvl w:ilvl="0">
      <w:start w:val="1"/>
      <w:numFmt w:val="bullet"/>
      <w:pStyle w:val="ListBullet"/>
      <w:lvlText w:val=""/>
      <w:lvlJc w:val="left"/>
      <w:pPr>
        <w:tabs>
          <w:tab w:val="num" w:pos="850"/>
        </w:tabs>
        <w:ind w:left="850" w:hanging="85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NZ" w:vendorID="64" w:dllVersion="5" w:nlCheck="1" w:checkStyle="1"/>
  <w:activeWritingStyle w:appName="MSWord" w:lang="en-NZ" w:vendorID="64" w:dllVersion="6" w:nlCheck="1" w:checkStyle="0"/>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proofState w:spelling="clean" w:grammar="clean"/>
  <w:attachedTemplate r:id="rId1"/>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97"/>
    <w:rsid w:val="00001969"/>
    <w:rsid w:val="00032189"/>
    <w:rsid w:val="000625D7"/>
    <w:rsid w:val="000817DA"/>
    <w:rsid w:val="000829BF"/>
    <w:rsid w:val="0008517B"/>
    <w:rsid w:val="00087975"/>
    <w:rsid w:val="00093B6A"/>
    <w:rsid w:val="000A20A0"/>
    <w:rsid w:val="000A5704"/>
    <w:rsid w:val="000A6429"/>
    <w:rsid w:val="000B0C11"/>
    <w:rsid w:val="000B0FF9"/>
    <w:rsid w:val="000C6887"/>
    <w:rsid w:val="000D598B"/>
    <w:rsid w:val="000E045A"/>
    <w:rsid w:val="000E6D62"/>
    <w:rsid w:val="00121925"/>
    <w:rsid w:val="00127AC5"/>
    <w:rsid w:val="00134A50"/>
    <w:rsid w:val="00136521"/>
    <w:rsid w:val="0018730A"/>
    <w:rsid w:val="00195562"/>
    <w:rsid w:val="001B3701"/>
    <w:rsid w:val="001B6200"/>
    <w:rsid w:val="001B792D"/>
    <w:rsid w:val="001B7AF9"/>
    <w:rsid w:val="001D250E"/>
    <w:rsid w:val="001D3600"/>
    <w:rsid w:val="001D4321"/>
    <w:rsid w:val="001E5943"/>
    <w:rsid w:val="001F114C"/>
    <w:rsid w:val="001F49FD"/>
    <w:rsid w:val="00200F9E"/>
    <w:rsid w:val="002206CE"/>
    <w:rsid w:val="00230FD3"/>
    <w:rsid w:val="00231595"/>
    <w:rsid w:val="00233907"/>
    <w:rsid w:val="002513C3"/>
    <w:rsid w:val="0027774C"/>
    <w:rsid w:val="00281615"/>
    <w:rsid w:val="0028701B"/>
    <w:rsid w:val="0029505E"/>
    <w:rsid w:val="002B7F9D"/>
    <w:rsid w:val="002C5B7C"/>
    <w:rsid w:val="002C6F69"/>
    <w:rsid w:val="002D3759"/>
    <w:rsid w:val="002F649A"/>
    <w:rsid w:val="00303848"/>
    <w:rsid w:val="00310E76"/>
    <w:rsid w:val="00313013"/>
    <w:rsid w:val="003C3E0D"/>
    <w:rsid w:val="003E3BA8"/>
    <w:rsid w:val="003F0309"/>
    <w:rsid w:val="00422603"/>
    <w:rsid w:val="00423196"/>
    <w:rsid w:val="00430C79"/>
    <w:rsid w:val="00432800"/>
    <w:rsid w:val="004346DD"/>
    <w:rsid w:val="00434E98"/>
    <w:rsid w:val="00436F2D"/>
    <w:rsid w:val="00483FD6"/>
    <w:rsid w:val="004878F4"/>
    <w:rsid w:val="004912D7"/>
    <w:rsid w:val="004922F0"/>
    <w:rsid w:val="004B2399"/>
    <w:rsid w:val="004C3E18"/>
    <w:rsid w:val="004C7252"/>
    <w:rsid w:val="004D7D2F"/>
    <w:rsid w:val="004E63ED"/>
    <w:rsid w:val="004F0737"/>
    <w:rsid w:val="004F16AD"/>
    <w:rsid w:val="004F3556"/>
    <w:rsid w:val="00504E4D"/>
    <w:rsid w:val="00512874"/>
    <w:rsid w:val="005165CF"/>
    <w:rsid w:val="00521717"/>
    <w:rsid w:val="005311BD"/>
    <w:rsid w:val="005339F3"/>
    <w:rsid w:val="00536091"/>
    <w:rsid w:val="00591C45"/>
    <w:rsid w:val="005A287E"/>
    <w:rsid w:val="005B591D"/>
    <w:rsid w:val="005E4DE2"/>
    <w:rsid w:val="005F408F"/>
    <w:rsid w:val="005F54EF"/>
    <w:rsid w:val="00600608"/>
    <w:rsid w:val="00604589"/>
    <w:rsid w:val="006476D2"/>
    <w:rsid w:val="006927FA"/>
    <w:rsid w:val="00697014"/>
    <w:rsid w:val="006971C8"/>
    <w:rsid w:val="006E2FCC"/>
    <w:rsid w:val="006F02E1"/>
    <w:rsid w:val="006F60F4"/>
    <w:rsid w:val="00701F75"/>
    <w:rsid w:val="007519B0"/>
    <w:rsid w:val="0075429F"/>
    <w:rsid w:val="00792995"/>
    <w:rsid w:val="007958E7"/>
    <w:rsid w:val="00796D2A"/>
    <w:rsid w:val="007A1CC0"/>
    <w:rsid w:val="007D3218"/>
    <w:rsid w:val="007E0F4D"/>
    <w:rsid w:val="007E49B4"/>
    <w:rsid w:val="00805F97"/>
    <w:rsid w:val="0082020F"/>
    <w:rsid w:val="008453F3"/>
    <w:rsid w:val="00857511"/>
    <w:rsid w:val="00863F7B"/>
    <w:rsid w:val="0087653D"/>
    <w:rsid w:val="00884BE4"/>
    <w:rsid w:val="00896443"/>
    <w:rsid w:val="00896F30"/>
    <w:rsid w:val="008B213C"/>
    <w:rsid w:val="008E129C"/>
    <w:rsid w:val="008F20DC"/>
    <w:rsid w:val="00967C8E"/>
    <w:rsid w:val="009856C6"/>
    <w:rsid w:val="009C594E"/>
    <w:rsid w:val="00A05718"/>
    <w:rsid w:val="00A06EA1"/>
    <w:rsid w:val="00A12BF2"/>
    <w:rsid w:val="00A251EE"/>
    <w:rsid w:val="00A5047A"/>
    <w:rsid w:val="00A51EC3"/>
    <w:rsid w:val="00A8120E"/>
    <w:rsid w:val="00A82088"/>
    <w:rsid w:val="00AA2BC9"/>
    <w:rsid w:val="00AC0731"/>
    <w:rsid w:val="00AE2A7E"/>
    <w:rsid w:val="00AE3E29"/>
    <w:rsid w:val="00B0127A"/>
    <w:rsid w:val="00B21D81"/>
    <w:rsid w:val="00B43856"/>
    <w:rsid w:val="00B65A11"/>
    <w:rsid w:val="00B67484"/>
    <w:rsid w:val="00B71DD9"/>
    <w:rsid w:val="00B90542"/>
    <w:rsid w:val="00B91DE8"/>
    <w:rsid w:val="00BA06D3"/>
    <w:rsid w:val="00BA51D5"/>
    <w:rsid w:val="00BA7710"/>
    <w:rsid w:val="00BB57DE"/>
    <w:rsid w:val="00BB60B3"/>
    <w:rsid w:val="00BD5E76"/>
    <w:rsid w:val="00BD6308"/>
    <w:rsid w:val="00C02090"/>
    <w:rsid w:val="00C04835"/>
    <w:rsid w:val="00C21EAD"/>
    <w:rsid w:val="00C2738F"/>
    <w:rsid w:val="00C704EC"/>
    <w:rsid w:val="00C70C80"/>
    <w:rsid w:val="00C853BA"/>
    <w:rsid w:val="00C94361"/>
    <w:rsid w:val="00CA42A9"/>
    <w:rsid w:val="00CB3A9A"/>
    <w:rsid w:val="00CB3E37"/>
    <w:rsid w:val="00CD429D"/>
    <w:rsid w:val="00CD5F1E"/>
    <w:rsid w:val="00CE27ED"/>
    <w:rsid w:val="00CE5424"/>
    <w:rsid w:val="00D1711F"/>
    <w:rsid w:val="00D17551"/>
    <w:rsid w:val="00D46A07"/>
    <w:rsid w:val="00D54430"/>
    <w:rsid w:val="00D619A5"/>
    <w:rsid w:val="00D879CF"/>
    <w:rsid w:val="00DC1950"/>
    <w:rsid w:val="00DC2094"/>
    <w:rsid w:val="00DC2180"/>
    <w:rsid w:val="00DD627A"/>
    <w:rsid w:val="00E365CF"/>
    <w:rsid w:val="00E37105"/>
    <w:rsid w:val="00E549E9"/>
    <w:rsid w:val="00E55175"/>
    <w:rsid w:val="00EB1A62"/>
    <w:rsid w:val="00EB3480"/>
    <w:rsid w:val="00EB48E8"/>
    <w:rsid w:val="00EB62DF"/>
    <w:rsid w:val="00EC2E84"/>
    <w:rsid w:val="00EE31B2"/>
    <w:rsid w:val="00EF4C3A"/>
    <w:rsid w:val="00F05B20"/>
    <w:rsid w:val="00F152F2"/>
    <w:rsid w:val="00F25972"/>
    <w:rsid w:val="00F4304F"/>
    <w:rsid w:val="00F46FF8"/>
    <w:rsid w:val="00F82382"/>
    <w:rsid w:val="00FA03A5"/>
    <w:rsid w:val="00FA2538"/>
    <w:rsid w:val="00FA7131"/>
    <w:rsid w:val="00FC3CD9"/>
    <w:rsid w:val="00FC6A8A"/>
    <w:rsid w:val="00FD640B"/>
    <w:rsid w:val="00FE51C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5E78B"/>
  <w15:docId w15:val="{D2DFEDB3-4E2E-4457-91FA-16A839DD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08"/>
    <w:pPr>
      <w:spacing w:line="260" w:lineRule="atLeast"/>
    </w:pPr>
  </w:style>
  <w:style w:type="paragraph" w:styleId="Heading1">
    <w:name w:val="heading 1"/>
    <w:basedOn w:val="Normal"/>
    <w:qFormat/>
    <w:rsid w:val="00422603"/>
    <w:pPr>
      <w:keepNext/>
      <w:spacing w:before="240"/>
      <w:outlineLvl w:val="0"/>
    </w:pPr>
    <w:rPr>
      <w:kern w:val="28"/>
    </w:rPr>
  </w:style>
  <w:style w:type="paragraph" w:styleId="Heading2">
    <w:name w:val="heading 2"/>
    <w:basedOn w:val="Normal"/>
    <w:qFormat/>
    <w:rsid w:val="00422603"/>
    <w:pPr>
      <w:keepNext/>
      <w:spacing w:before="240" w:after="240"/>
      <w:outlineLvl w:val="1"/>
    </w:pPr>
  </w:style>
  <w:style w:type="paragraph" w:styleId="Heading3">
    <w:name w:val="heading 3"/>
    <w:basedOn w:val="Normal"/>
    <w:qFormat/>
    <w:rsid w:val="00422603"/>
    <w:pPr>
      <w:keepNext/>
      <w:spacing w:after="280"/>
      <w:outlineLvl w:val="2"/>
    </w:pPr>
  </w:style>
  <w:style w:type="paragraph" w:styleId="Heading4">
    <w:name w:val="heading 4"/>
    <w:basedOn w:val="Normal"/>
    <w:qFormat/>
    <w:rsid w:val="00422603"/>
    <w:pPr>
      <w:keepNext/>
      <w:spacing w:before="240" w:after="60"/>
      <w:outlineLvl w:val="3"/>
    </w:pPr>
  </w:style>
  <w:style w:type="paragraph" w:styleId="Heading5">
    <w:name w:val="heading 5"/>
    <w:basedOn w:val="Normal"/>
    <w:qFormat/>
    <w:rsid w:val="00FC6A8A"/>
    <w:pPr>
      <w:spacing w:before="240" w:after="60"/>
      <w:outlineLvl w:val="4"/>
    </w:pPr>
  </w:style>
  <w:style w:type="paragraph" w:styleId="Heading6">
    <w:name w:val="heading 6"/>
    <w:basedOn w:val="Normal"/>
    <w:next w:val="Normal"/>
    <w:qFormat/>
    <w:rsid w:val="00422603"/>
    <w:pPr>
      <w:spacing w:before="240" w:after="60"/>
      <w:outlineLvl w:val="5"/>
    </w:pPr>
  </w:style>
  <w:style w:type="paragraph" w:styleId="Heading7">
    <w:name w:val="heading 7"/>
    <w:basedOn w:val="Normal"/>
    <w:next w:val="Normal"/>
    <w:qFormat/>
    <w:rsid w:val="00422603"/>
    <w:pPr>
      <w:spacing w:before="240" w:after="60"/>
      <w:outlineLvl w:val="6"/>
    </w:pPr>
  </w:style>
  <w:style w:type="paragraph" w:styleId="Heading8">
    <w:name w:val="heading 8"/>
    <w:basedOn w:val="Normal"/>
    <w:next w:val="Normal"/>
    <w:qFormat/>
    <w:rsid w:val="00422603"/>
    <w:pPr>
      <w:spacing w:before="240" w:after="60"/>
      <w:outlineLvl w:val="7"/>
    </w:pPr>
  </w:style>
  <w:style w:type="paragraph" w:styleId="Heading9">
    <w:name w:val="heading 9"/>
    <w:basedOn w:val="Normal"/>
    <w:next w:val="Normal"/>
    <w:qFormat/>
    <w:rsid w:val="0042260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FC6A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FC6A8A"/>
  </w:style>
  <w:style w:type="paragraph" w:styleId="Footer">
    <w:name w:val="footer"/>
    <w:semiHidden/>
    <w:rsid w:val="00FC6A8A"/>
    <w:rPr>
      <w:noProof/>
      <w:spacing w:val="2"/>
      <w:kern w:val="26"/>
      <w:sz w:val="12"/>
      <w:lang w:val="en-US" w:eastAsia="en-US"/>
    </w:rPr>
  </w:style>
  <w:style w:type="paragraph" w:styleId="TOC1">
    <w:name w:val="toc 1"/>
    <w:basedOn w:val="Normal"/>
    <w:next w:val="Normal"/>
    <w:semiHidden/>
    <w:rsid w:val="00FC6A8A"/>
    <w:pPr>
      <w:tabs>
        <w:tab w:val="left" w:pos="851"/>
        <w:tab w:val="right" w:leader="dot" w:pos="9071"/>
      </w:tabs>
      <w:spacing w:before="120"/>
      <w:ind w:left="284" w:hanging="284"/>
    </w:pPr>
  </w:style>
  <w:style w:type="paragraph" w:styleId="TOC2">
    <w:name w:val="toc 2"/>
    <w:basedOn w:val="Normal"/>
    <w:next w:val="Normal"/>
    <w:semiHidden/>
    <w:rsid w:val="00FC6A8A"/>
    <w:pPr>
      <w:tabs>
        <w:tab w:val="left" w:pos="1701"/>
        <w:tab w:val="right" w:leader="dot" w:pos="9071"/>
      </w:tabs>
      <w:ind w:left="851"/>
    </w:pPr>
    <w:rPr>
      <w:noProof/>
    </w:rPr>
  </w:style>
  <w:style w:type="paragraph" w:styleId="TOC3">
    <w:name w:val="toc 3"/>
    <w:basedOn w:val="Normal"/>
    <w:next w:val="Normal"/>
    <w:semiHidden/>
    <w:rsid w:val="00FC6A8A"/>
    <w:pPr>
      <w:tabs>
        <w:tab w:val="right" w:leader="dot" w:pos="9071"/>
      </w:tabs>
      <w:ind w:left="400"/>
    </w:pPr>
  </w:style>
  <w:style w:type="paragraph" w:styleId="TOC4">
    <w:name w:val="toc 4"/>
    <w:basedOn w:val="Normal"/>
    <w:next w:val="Normal"/>
    <w:semiHidden/>
    <w:rsid w:val="00FC6A8A"/>
    <w:pPr>
      <w:tabs>
        <w:tab w:val="right" w:leader="dot" w:pos="9071"/>
      </w:tabs>
      <w:ind w:left="600"/>
    </w:pPr>
  </w:style>
  <w:style w:type="paragraph" w:styleId="TOC5">
    <w:name w:val="toc 5"/>
    <w:basedOn w:val="Normal"/>
    <w:next w:val="Normal"/>
    <w:semiHidden/>
    <w:rsid w:val="00FC6A8A"/>
    <w:pPr>
      <w:tabs>
        <w:tab w:val="right" w:leader="dot" w:pos="9071"/>
      </w:tabs>
      <w:ind w:left="800"/>
    </w:pPr>
  </w:style>
  <w:style w:type="paragraph" w:styleId="TOC6">
    <w:name w:val="toc 6"/>
    <w:basedOn w:val="Normal"/>
    <w:next w:val="Normal"/>
    <w:semiHidden/>
    <w:rsid w:val="00FC6A8A"/>
    <w:pPr>
      <w:tabs>
        <w:tab w:val="right" w:leader="dot" w:pos="9071"/>
      </w:tabs>
      <w:ind w:left="1000"/>
    </w:pPr>
  </w:style>
  <w:style w:type="paragraph" w:styleId="TOC7">
    <w:name w:val="toc 7"/>
    <w:basedOn w:val="Normal"/>
    <w:next w:val="Normal"/>
    <w:semiHidden/>
    <w:rsid w:val="00FC6A8A"/>
    <w:pPr>
      <w:tabs>
        <w:tab w:val="right" w:leader="dot" w:pos="9071"/>
      </w:tabs>
      <w:ind w:left="1200"/>
    </w:pPr>
  </w:style>
  <w:style w:type="paragraph" w:styleId="TOC8">
    <w:name w:val="toc 8"/>
    <w:basedOn w:val="Normal"/>
    <w:next w:val="Normal"/>
    <w:semiHidden/>
    <w:rsid w:val="00FC6A8A"/>
    <w:pPr>
      <w:tabs>
        <w:tab w:val="right" w:leader="dot" w:pos="9071"/>
      </w:tabs>
      <w:ind w:left="1400"/>
    </w:pPr>
  </w:style>
  <w:style w:type="paragraph" w:styleId="TOC9">
    <w:name w:val="toc 9"/>
    <w:basedOn w:val="Normal"/>
    <w:next w:val="Normal"/>
    <w:semiHidden/>
    <w:rsid w:val="00FC6A8A"/>
    <w:pPr>
      <w:tabs>
        <w:tab w:val="right" w:leader="dot" w:pos="9071"/>
      </w:tabs>
      <w:ind w:left="1600"/>
    </w:pPr>
  </w:style>
  <w:style w:type="paragraph" w:styleId="TOAHeading">
    <w:name w:val="toa heading"/>
    <w:basedOn w:val="Normal"/>
    <w:next w:val="Normal"/>
    <w:semiHidden/>
    <w:rsid w:val="00FC6A8A"/>
    <w:pPr>
      <w:spacing w:after="280"/>
      <w:jc w:val="center"/>
    </w:pPr>
    <w:rPr>
      <w:b/>
      <w:caps/>
      <w:sz w:val="24"/>
    </w:rPr>
  </w:style>
  <w:style w:type="paragraph" w:customStyle="1" w:styleId="Numberedindent">
    <w:name w:val="Numbered indent"/>
    <w:basedOn w:val="Normal"/>
    <w:next w:val="Normal"/>
    <w:rsid w:val="00FC6A8A"/>
    <w:pPr>
      <w:ind w:left="851" w:hanging="851"/>
    </w:pPr>
  </w:style>
  <w:style w:type="paragraph" w:styleId="Caption">
    <w:name w:val="caption"/>
    <w:basedOn w:val="Normal"/>
    <w:next w:val="Normal"/>
    <w:qFormat/>
    <w:rsid w:val="00FC6A8A"/>
    <w:pPr>
      <w:spacing w:before="120" w:after="120"/>
    </w:pPr>
    <w:rPr>
      <w:i/>
      <w:sz w:val="19"/>
    </w:rPr>
  </w:style>
  <w:style w:type="paragraph" w:styleId="FootnoteText">
    <w:name w:val="footnote text"/>
    <w:basedOn w:val="Normal"/>
    <w:semiHidden/>
    <w:rsid w:val="001F114C"/>
    <w:pPr>
      <w:spacing w:line="240" w:lineRule="auto"/>
    </w:pPr>
    <w:rPr>
      <w:sz w:val="16"/>
    </w:rPr>
  </w:style>
  <w:style w:type="character" w:styleId="FootnoteReference">
    <w:name w:val="footnote reference"/>
    <w:basedOn w:val="DefaultParagraphFont"/>
    <w:semiHidden/>
    <w:rsid w:val="008E129C"/>
    <w:rPr>
      <w:rFonts w:ascii="Arial" w:hAnsi="Arial"/>
      <w:b w:val="0"/>
      <w:i w:val="0"/>
      <w:color w:val="auto"/>
      <w:sz w:val="20"/>
      <w:u w:val="none"/>
      <w:vertAlign w:val="superscript"/>
    </w:rPr>
  </w:style>
  <w:style w:type="paragraph" w:styleId="Quote">
    <w:name w:val="Quote"/>
    <w:basedOn w:val="Normal"/>
    <w:qFormat/>
    <w:rsid w:val="00434E98"/>
    <w:pPr>
      <w:spacing w:before="240"/>
      <w:ind w:left="1701" w:right="986"/>
    </w:pPr>
    <w:rPr>
      <w:sz w:val="18"/>
    </w:rPr>
  </w:style>
  <w:style w:type="paragraph" w:styleId="TableofAuthorities">
    <w:name w:val="table of authorities"/>
    <w:basedOn w:val="Normal"/>
    <w:next w:val="Normal"/>
    <w:semiHidden/>
    <w:rsid w:val="00FC6A8A"/>
    <w:pPr>
      <w:tabs>
        <w:tab w:val="right" w:leader="dot" w:pos="9071"/>
      </w:tabs>
      <w:ind w:left="210" w:hanging="210"/>
    </w:pPr>
    <w:rPr>
      <w:sz w:val="18"/>
    </w:rPr>
  </w:style>
  <w:style w:type="character" w:styleId="PageNumber">
    <w:name w:val="page number"/>
    <w:basedOn w:val="DefaultParagraphFont"/>
    <w:semiHidden/>
    <w:rsid w:val="00FC6A8A"/>
  </w:style>
  <w:style w:type="paragraph" w:styleId="CommentText">
    <w:name w:val="annotation text"/>
    <w:basedOn w:val="Normal"/>
    <w:semiHidden/>
    <w:rsid w:val="00FC6A8A"/>
    <w:pPr>
      <w:ind w:left="851" w:hanging="851"/>
    </w:pPr>
    <w:rPr>
      <w:sz w:val="19"/>
    </w:rPr>
  </w:style>
  <w:style w:type="paragraph" w:styleId="EndnoteText">
    <w:name w:val="endnote text"/>
    <w:basedOn w:val="Normal"/>
    <w:semiHidden/>
    <w:rsid w:val="00B21D81"/>
    <w:pPr>
      <w:spacing w:line="240" w:lineRule="auto"/>
    </w:pPr>
    <w:rPr>
      <w:sz w:val="16"/>
    </w:rPr>
  </w:style>
  <w:style w:type="paragraph" w:styleId="EnvelopeAddress">
    <w:name w:val="envelope address"/>
    <w:basedOn w:val="Normal"/>
    <w:semiHidden/>
    <w:rsid w:val="00FC6A8A"/>
    <w:pPr>
      <w:framePr w:w="5040" w:h="1980" w:hRule="exact" w:hSpace="180" w:wrap="auto" w:vAnchor="page" w:hAnchor="page" w:x="4184" w:y="2593"/>
    </w:pPr>
    <w:rPr>
      <w:noProof/>
    </w:rPr>
  </w:style>
  <w:style w:type="paragraph" w:styleId="EnvelopeReturn">
    <w:name w:val="envelope return"/>
    <w:basedOn w:val="Normal"/>
    <w:semiHidden/>
    <w:rsid w:val="00FC6A8A"/>
  </w:style>
  <w:style w:type="paragraph" w:styleId="Index1">
    <w:name w:val="index 1"/>
    <w:basedOn w:val="Normal"/>
    <w:next w:val="Normal"/>
    <w:semiHidden/>
    <w:rsid w:val="00FC6A8A"/>
    <w:pPr>
      <w:tabs>
        <w:tab w:val="right" w:leader="dot" w:pos="9071"/>
      </w:tabs>
      <w:ind w:left="210" w:hanging="210"/>
    </w:pPr>
  </w:style>
  <w:style w:type="paragraph" w:styleId="IndexHeading">
    <w:name w:val="index heading"/>
    <w:basedOn w:val="Normal"/>
    <w:next w:val="Index1"/>
    <w:semiHidden/>
    <w:rsid w:val="00FC6A8A"/>
    <w:pPr>
      <w:spacing w:after="240"/>
      <w:jc w:val="center"/>
    </w:pPr>
    <w:rPr>
      <w:b/>
    </w:rPr>
  </w:style>
  <w:style w:type="paragraph" w:styleId="MessageHeader">
    <w:name w:val="Message Header"/>
    <w:basedOn w:val="Normal"/>
    <w:semiHidden/>
    <w:rsid w:val="00FC6A8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FC6A8A"/>
    <w:pPr>
      <w:ind w:left="851"/>
    </w:pPr>
  </w:style>
  <w:style w:type="paragraph" w:styleId="Signature">
    <w:name w:val="Signature"/>
    <w:basedOn w:val="Normal"/>
    <w:semiHidden/>
    <w:rsid w:val="00FC6A8A"/>
  </w:style>
  <w:style w:type="paragraph" w:styleId="Subtitle">
    <w:name w:val="Subtitle"/>
    <w:basedOn w:val="Normal"/>
    <w:qFormat/>
    <w:rsid w:val="00FC6A8A"/>
    <w:rPr>
      <w:sz w:val="24"/>
    </w:rPr>
  </w:style>
  <w:style w:type="paragraph" w:styleId="Title">
    <w:name w:val="Title"/>
    <w:basedOn w:val="Normal"/>
    <w:qFormat/>
    <w:rsid w:val="00FC6A8A"/>
    <w:pPr>
      <w:spacing w:before="240" w:after="360"/>
      <w:jc w:val="center"/>
    </w:pPr>
    <w:rPr>
      <w:b/>
      <w:caps/>
      <w:kern w:val="28"/>
      <w:sz w:val="32"/>
    </w:rPr>
  </w:style>
  <w:style w:type="paragraph" w:customStyle="1" w:styleId="Subject">
    <w:name w:val="Subject"/>
    <w:basedOn w:val="Normal"/>
    <w:next w:val="Normal"/>
    <w:rsid w:val="00FC6A8A"/>
    <w:rPr>
      <w:b/>
    </w:rPr>
  </w:style>
  <w:style w:type="paragraph" w:customStyle="1" w:styleId="NumberedLine1">
    <w:name w:val="Numbered Line 1"/>
    <w:basedOn w:val="Normal"/>
    <w:next w:val="Normal"/>
    <w:rsid w:val="00FC6A8A"/>
    <w:pPr>
      <w:tabs>
        <w:tab w:val="left" w:pos="851"/>
      </w:tabs>
      <w:ind w:left="1702" w:hanging="1702"/>
    </w:pPr>
  </w:style>
  <w:style w:type="paragraph" w:customStyle="1" w:styleId="NumberedLine2">
    <w:name w:val="Numbered Line 2"/>
    <w:basedOn w:val="NumberedLine1"/>
    <w:next w:val="Normal"/>
    <w:rsid w:val="00FC6A8A"/>
    <w:pPr>
      <w:tabs>
        <w:tab w:val="left" w:pos="1701"/>
      </w:tabs>
      <w:ind w:left="2553" w:hanging="2553"/>
    </w:pPr>
  </w:style>
  <w:style w:type="paragraph" w:customStyle="1" w:styleId="Subheading">
    <w:name w:val="Sub heading"/>
    <w:basedOn w:val="Normal"/>
    <w:next w:val="Normal"/>
    <w:rsid w:val="00434E98"/>
    <w:pPr>
      <w:keepNext/>
      <w:spacing w:before="240"/>
      <w:ind w:left="850"/>
    </w:pPr>
    <w:rPr>
      <w:b/>
    </w:rPr>
  </w:style>
  <w:style w:type="paragraph" w:styleId="ListBullet">
    <w:name w:val="List Bullet"/>
    <w:basedOn w:val="Normal"/>
    <w:semiHidden/>
    <w:rsid w:val="00FC6A8A"/>
    <w:pPr>
      <w:numPr>
        <w:numId w:val="1"/>
      </w:numPr>
    </w:pPr>
  </w:style>
  <w:style w:type="paragraph" w:customStyle="1" w:styleId="Schedule">
    <w:name w:val="Schedule"/>
    <w:basedOn w:val="Normal"/>
    <w:next w:val="Normal"/>
    <w:rsid w:val="00FC6A8A"/>
    <w:pPr>
      <w:jc w:val="center"/>
    </w:pPr>
    <w:rPr>
      <w:b/>
      <w:caps/>
    </w:rPr>
  </w:style>
  <w:style w:type="paragraph" w:customStyle="1" w:styleId="ScheduleName">
    <w:name w:val="Schedule Name"/>
    <w:basedOn w:val="Normal"/>
    <w:next w:val="Normal"/>
    <w:rsid w:val="00FC6A8A"/>
    <w:pPr>
      <w:jc w:val="center"/>
    </w:pPr>
    <w:rPr>
      <w:b/>
    </w:rPr>
  </w:style>
  <w:style w:type="paragraph" w:customStyle="1" w:styleId="Execution">
    <w:name w:val="Execution"/>
    <w:basedOn w:val="Normal"/>
    <w:next w:val="Normal"/>
    <w:rsid w:val="00FC6A8A"/>
    <w:rPr>
      <w:b/>
      <w:caps/>
    </w:rPr>
  </w:style>
  <w:style w:type="paragraph" w:customStyle="1" w:styleId="Footer6pt">
    <w:name w:val="Footer 6pt"/>
    <w:basedOn w:val="Normal"/>
    <w:autoRedefine/>
    <w:qFormat/>
    <w:rsid w:val="00134A50"/>
    <w:pPr>
      <w:spacing w:line="240" w:lineRule="auto"/>
    </w:pPr>
    <w:rPr>
      <w:sz w:val="12"/>
    </w:rPr>
  </w:style>
  <w:style w:type="paragraph" w:styleId="NoSpacing">
    <w:name w:val="No Spacing"/>
    <w:uiPriority w:val="1"/>
    <w:qFormat/>
    <w:rsid w:val="00422603"/>
    <w:pPr>
      <w:jc w:val="both"/>
    </w:pPr>
    <w:rPr>
      <w:lang w:eastAsia="en-US"/>
    </w:rPr>
  </w:style>
  <w:style w:type="character" w:styleId="SubtleEmphasis">
    <w:name w:val="Subtle Emphasis"/>
    <w:basedOn w:val="DefaultParagraphFont"/>
    <w:uiPriority w:val="19"/>
    <w:qFormat/>
    <w:rsid w:val="00422603"/>
    <w:rPr>
      <w:i/>
      <w:iCs/>
      <w:color w:val="404040" w:themeColor="text1" w:themeTint="BF"/>
    </w:rPr>
  </w:style>
  <w:style w:type="character" w:styleId="Emphasis">
    <w:name w:val="Emphasis"/>
    <w:basedOn w:val="DefaultParagraphFont"/>
    <w:uiPriority w:val="20"/>
    <w:qFormat/>
    <w:rsid w:val="00422603"/>
    <w:rPr>
      <w:i/>
      <w:iCs/>
    </w:rPr>
  </w:style>
  <w:style w:type="character" w:styleId="IntenseEmphasis">
    <w:name w:val="Intense Emphasis"/>
    <w:basedOn w:val="DefaultParagraphFont"/>
    <w:uiPriority w:val="21"/>
    <w:qFormat/>
    <w:rsid w:val="00422603"/>
    <w:rPr>
      <w:i/>
      <w:iCs/>
      <w:color w:val="4F81BD" w:themeColor="accent1"/>
    </w:rPr>
  </w:style>
  <w:style w:type="character" w:styleId="Strong">
    <w:name w:val="Strong"/>
    <w:basedOn w:val="DefaultParagraphFont"/>
    <w:uiPriority w:val="22"/>
    <w:qFormat/>
    <w:rsid w:val="00422603"/>
    <w:rPr>
      <w:b/>
      <w:bCs/>
    </w:rPr>
  </w:style>
  <w:style w:type="paragraph" w:styleId="IntenseQuote">
    <w:name w:val="Intense Quote"/>
    <w:basedOn w:val="Normal"/>
    <w:next w:val="Normal"/>
    <w:link w:val="IntenseQuoteChar"/>
    <w:uiPriority w:val="30"/>
    <w:qFormat/>
    <w:rsid w:val="004226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603"/>
    <w:rPr>
      <w:rFonts w:ascii="Arial" w:hAnsi="Arial"/>
      <w:i/>
      <w:iCs/>
      <w:color w:val="4F81BD" w:themeColor="accent1"/>
      <w:lang w:eastAsia="en-US"/>
    </w:rPr>
  </w:style>
  <w:style w:type="character" w:styleId="SubtleReference">
    <w:name w:val="Subtle Reference"/>
    <w:basedOn w:val="DefaultParagraphFont"/>
    <w:uiPriority w:val="31"/>
    <w:qFormat/>
    <w:rsid w:val="00422603"/>
    <w:rPr>
      <w:smallCaps/>
      <w:color w:val="5A5A5A" w:themeColor="text1" w:themeTint="A5"/>
    </w:rPr>
  </w:style>
  <w:style w:type="character" w:styleId="IntenseReference">
    <w:name w:val="Intense Reference"/>
    <w:basedOn w:val="DefaultParagraphFont"/>
    <w:uiPriority w:val="32"/>
    <w:qFormat/>
    <w:rsid w:val="00422603"/>
    <w:rPr>
      <w:b/>
      <w:bCs/>
      <w:smallCaps/>
      <w:color w:val="4F81BD" w:themeColor="accent1"/>
      <w:spacing w:val="5"/>
    </w:rPr>
  </w:style>
  <w:style w:type="character" w:styleId="BookTitle">
    <w:name w:val="Book Title"/>
    <w:basedOn w:val="DefaultParagraphFont"/>
    <w:uiPriority w:val="33"/>
    <w:qFormat/>
    <w:rsid w:val="00422603"/>
    <w:rPr>
      <w:b/>
      <w:bCs/>
      <w:i/>
      <w:iCs/>
      <w:spacing w:val="5"/>
    </w:rPr>
  </w:style>
  <w:style w:type="paragraph" w:styleId="ListParagraph">
    <w:name w:val="List Paragraph"/>
    <w:basedOn w:val="Normal"/>
    <w:uiPriority w:val="34"/>
    <w:qFormat/>
    <w:rsid w:val="00422603"/>
    <w:pPr>
      <w:ind w:left="720"/>
      <w:contextualSpacing/>
    </w:pPr>
  </w:style>
  <w:style w:type="character" w:styleId="EndnoteReference">
    <w:name w:val="endnote reference"/>
    <w:basedOn w:val="DefaultParagraphFont"/>
    <w:uiPriority w:val="99"/>
    <w:semiHidden/>
    <w:unhideWhenUsed/>
    <w:rsid w:val="00B21D81"/>
    <w:rPr>
      <w:rFonts w:ascii="Arial" w:hAnsi="Arial"/>
      <w:sz w:val="20"/>
      <w:vertAlign w:val="superscript"/>
    </w:rPr>
  </w:style>
  <w:style w:type="table" w:customStyle="1" w:styleId="RMVTableStyle2">
    <w:name w:val="RMV Table Style 2"/>
    <w:basedOn w:val="TableNormal"/>
    <w:uiPriority w:val="99"/>
    <w:rsid w:val="00121925"/>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table" w:customStyle="1" w:styleId="RMVTableStyle3">
    <w:name w:val="RMV Table Style 3"/>
    <w:basedOn w:val="TableNormal"/>
    <w:uiPriority w:val="99"/>
    <w:rsid w:val="00121925"/>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shd w:val="clear" w:color="auto" w:fill="D9D9D9" w:themeFill="background1" w:themeFillShade="D9"/>
      </w:tcPr>
    </w:tblStylePr>
    <w:tblStylePr w:type="band1Horz">
      <w:rPr>
        <w:rFonts w:ascii="Avenir LT Std 35 Light" w:hAnsi="Avenir LT Std 35 Light"/>
      </w:rPr>
    </w:tblStylePr>
    <w:tblStylePr w:type="band2Horz">
      <w:rPr>
        <w:rFonts w:ascii="Avenir LT Std 35 Light" w:hAnsi="Avenir LT Std 35 Light"/>
      </w:rPr>
      <w:tblPr/>
      <w:tcPr>
        <w:shd w:val="clear" w:color="auto" w:fill="F2F2F2" w:themeFill="background1" w:themeFillShade="F2"/>
      </w:tcPr>
    </w:tblStylePr>
  </w:style>
  <w:style w:type="table" w:styleId="TableGrid">
    <w:name w:val="Table Grid"/>
    <w:basedOn w:val="TableNormal"/>
    <w:uiPriority w:val="59"/>
    <w:rsid w:val="0060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1">
    <w:name w:val="RMV Table Style 1"/>
    <w:basedOn w:val="TableNormal"/>
    <w:uiPriority w:val="99"/>
    <w:rsid w:val="00233907"/>
    <w:pPr>
      <w:spacing w:line="260" w:lineRule="atLeast"/>
    </w:pPr>
    <w:tblPr>
      <w:tblStyleRowBandSize w:val="1"/>
      <w:tblStyleCol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shd w:val="clear" w:color="auto" w:fill="D9D9D9" w:themeFill="background1" w:themeFillShade="D9"/>
      </w:tc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Pr/>
      <w:tcPr>
        <w:shd w:val="clear" w:color="auto" w:fill="F2F2F2" w:themeFill="background1" w:themeFillShade="F2"/>
      </w:tcPr>
    </w:tblStylePr>
  </w:style>
  <w:style w:type="table" w:styleId="TableGridLight">
    <w:name w:val="Grid Table Light"/>
    <w:basedOn w:val="TableNormal"/>
    <w:uiPriority w:val="40"/>
    <w:rsid w:val="00CE27E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B79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ussell%20mcveagh\DAS\Document%20Templates\Blank.dot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F84095AC61140A45DAF387042B014" ma:contentTypeVersion="12" ma:contentTypeDescription="Create a new document." ma:contentTypeScope="" ma:versionID="c4af663f8a92d85ac9979ab7cdfd2dc7">
  <xsd:schema xmlns:xsd="http://www.w3.org/2001/XMLSchema" xmlns:xs="http://www.w3.org/2001/XMLSchema" xmlns:p="http://schemas.microsoft.com/office/2006/metadata/properties" xmlns:ns2="e9b42f93-a90e-4230-8bd0-07e7eb3b1179" xmlns:ns3="3ece57ef-2ed7-4162-96f3-91cbd662ab46" targetNamespace="http://schemas.microsoft.com/office/2006/metadata/properties" ma:root="true" ma:fieldsID="268823c9cf3ecd4022603421bd4675c2" ns2:_="" ns3:_="">
    <xsd:import namespace="e9b42f93-a90e-4230-8bd0-07e7eb3b1179"/>
    <xsd:import namespace="3ece57ef-2ed7-4162-96f3-91cbd662ab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42f93-a90e-4230-8bd0-07e7eb3b1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ce57ef-2ed7-4162-96f3-91cbd662ab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58BF-DA88-475F-B2E9-4E58EBF707ED}">
  <ds:schemaRefs>
    <ds:schemaRef ds:uri="http://schemas.microsoft.com/sharepoint/v3/contenttype/forms"/>
  </ds:schemaRefs>
</ds:datastoreItem>
</file>

<file path=customXml/itemProps2.xml><?xml version="1.0" encoding="utf-8"?>
<ds:datastoreItem xmlns:ds="http://schemas.openxmlformats.org/officeDocument/2006/customXml" ds:itemID="{B5F04DD0-2521-48C4-93C6-FF7EB163C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42f93-a90e-4230-8bd0-07e7eb3b1179"/>
    <ds:schemaRef ds:uri="3ece57ef-2ed7-4162-96f3-91cbd662a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9E4A1-578B-4DCF-B2A5-36EAE48FEB15}">
  <ds:schemaRefs>
    <ds:schemaRef ds:uri="http://purl.org/dc/terms/"/>
    <ds:schemaRef ds:uri="3ece57ef-2ed7-4162-96f3-91cbd662ab46"/>
    <ds:schemaRef ds:uri="http://purl.org/dc/dcmitype/"/>
    <ds:schemaRef ds:uri="e9b42f93-a90e-4230-8bd0-07e7eb3b117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D18211-0CD5-42BB-99A4-19F943D6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 Doc</vt:lpstr>
    </vt:vector>
  </TitlesOfParts>
  <Company>Russell McVeagh</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dc:title>
  <dc:subject/>
  <dc:creator>RMcV</dc:creator>
  <cp:keywords>Blank Doc</cp:keywords>
  <dc:description/>
  <cp:lastModifiedBy>Ian Hasell</cp:lastModifiedBy>
  <cp:revision>2</cp:revision>
  <cp:lastPrinted>1997-08-14T22:37:00Z</cp:lastPrinted>
  <dcterms:created xsi:type="dcterms:W3CDTF">2020-03-04T22:29:00Z</dcterms:created>
  <dcterms:modified xsi:type="dcterms:W3CDTF">2020-03-04T22:29:00Z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umber">
    <vt:lpwstr>3992449</vt:lpwstr>
  </property>
  <property fmtid="{D5CDD505-2E9C-101B-9397-08002B2CF9AE}" pid="3" name="PCDOCSLibrary">
    <vt:lpwstr> </vt:lpwstr>
  </property>
  <property fmtid="{D5CDD505-2E9C-101B-9397-08002B2CF9AE}" pid="4" name="ComputerName">
    <vt:lpwstr> </vt:lpwstr>
  </property>
  <property fmtid="{D5CDD505-2E9C-101B-9397-08002B2CF9AE}" pid="5" name="PCDOCSVersion">
    <vt:lpwstr>v1</vt:lpwstr>
  </property>
  <property fmtid="{D5CDD505-2E9C-101B-9397-08002B2CF9AE}" pid="6" name="iMARSTemplate">
    <vt:lpwstr>Yes</vt:lpwstr>
  </property>
  <property fmtid="{D5CDD505-2E9C-101B-9397-08002B2CF9AE}" pid="7" name="ContentTypeId">
    <vt:lpwstr>0x0101001E7F84095AC61140A45DAF387042B014</vt:lpwstr>
  </property>
</Properties>
</file>